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684B8" w14:textId="77777777" w:rsidR="0079711F" w:rsidRPr="0076695D" w:rsidRDefault="0079711F" w:rsidP="0079711F">
      <w:pPr>
        <w:pStyle w:val="Heading1"/>
        <w:pBdr>
          <w:bottom w:val="single" w:sz="4" w:space="1" w:color="auto"/>
        </w:pBdr>
      </w:pPr>
      <w:r w:rsidRPr="0076695D">
        <w:t>Kenmore East Assessment Policy</w:t>
      </w:r>
    </w:p>
    <w:p w14:paraId="5AA01CE8" w14:textId="55BB04FC" w:rsidR="0079711F" w:rsidRPr="003B0390" w:rsidRDefault="0079711F" w:rsidP="0079711F">
      <w:pPr>
        <w:pStyle w:val="Heading2"/>
      </w:pPr>
      <w:commentRangeStart w:id="0"/>
      <w:r w:rsidRPr="003B0390">
        <w:t xml:space="preserve">Philosophies and Principles </w:t>
      </w:r>
      <w:commentRangeEnd w:id="0"/>
      <w:r w:rsidR="006439A0">
        <w:rPr>
          <w:rStyle w:val="CommentReference"/>
          <w:rFonts w:asciiTheme="minorHAnsi" w:eastAsiaTheme="minorEastAsia" w:hAnsiTheme="minorHAnsi" w:cstheme="minorBidi"/>
          <w:b w:val="0"/>
          <w:bCs w:val="0"/>
          <w:i w:val="0"/>
          <w:iCs w:val="0"/>
          <w:color w:val="auto"/>
        </w:rPr>
        <w:commentReference w:id="0"/>
      </w:r>
    </w:p>
    <w:p w14:paraId="4B81D343" w14:textId="77777777" w:rsidR="0079711F" w:rsidRPr="0076695D" w:rsidRDefault="0079711F" w:rsidP="0079711F">
      <w:pPr>
        <w:pStyle w:val="Body"/>
        <w:rPr>
          <w:rFonts w:ascii="Times New Roman" w:hAnsi="Times New Roman"/>
          <w:szCs w:val="24"/>
        </w:rPr>
      </w:pPr>
    </w:p>
    <w:p w14:paraId="4E928928" w14:textId="77777777" w:rsidR="0079711F" w:rsidRPr="00831EEA" w:rsidRDefault="0079711F" w:rsidP="0079711F">
      <w:pPr>
        <w:rPr>
          <w:rFonts w:ascii="Times New Roman" w:hAnsi="Times New Roman" w:cs="Times New Roman"/>
        </w:rPr>
      </w:pPr>
      <w:r w:rsidRPr="00831EEA">
        <w:rPr>
          <w:rFonts w:ascii="Times New Roman" w:hAnsi="Times New Roman" w:cs="Times New Roman"/>
        </w:rPr>
        <w:t xml:space="preserve">Kenmore East teachers believe that assessment is an inseparable part of teaching, and understand that assessments </w:t>
      </w:r>
      <w:proofErr w:type="gramStart"/>
      <w:r w:rsidRPr="00831EEA">
        <w:rPr>
          <w:rFonts w:ascii="Times New Roman" w:hAnsi="Times New Roman" w:cs="Times New Roman"/>
        </w:rPr>
        <w:t>will be used</w:t>
      </w:r>
      <w:proofErr w:type="gramEnd"/>
      <w:r w:rsidRPr="00831EEA">
        <w:rPr>
          <w:rFonts w:ascii="Times New Roman" w:hAnsi="Times New Roman" w:cs="Times New Roman"/>
        </w:rPr>
        <w:t xml:space="preserve"> formatively and </w:t>
      </w:r>
      <w:proofErr w:type="spellStart"/>
      <w:r w:rsidRPr="00831EEA">
        <w:rPr>
          <w:rFonts w:ascii="Times New Roman" w:hAnsi="Times New Roman" w:cs="Times New Roman"/>
        </w:rPr>
        <w:t>summatively</w:t>
      </w:r>
      <w:proofErr w:type="spellEnd"/>
      <w:r w:rsidRPr="00831EEA">
        <w:rPr>
          <w:rFonts w:ascii="Times New Roman" w:hAnsi="Times New Roman" w:cs="Times New Roman"/>
        </w:rPr>
        <w:t>. Assessment at KE will strive to be the most accurate measure of student performance against the criteria of New York State standards, the Common Core Standards, and/or the IB or AP standards, not only an average score on a report card.</w:t>
      </w:r>
    </w:p>
    <w:p w14:paraId="53899EF1" w14:textId="4EF03478" w:rsidR="0079711F" w:rsidRPr="003B0390" w:rsidRDefault="0088271E" w:rsidP="0079711F">
      <w:pPr>
        <w:pStyle w:val="Heading2"/>
      </w:pPr>
      <w:r>
        <w:t>A</w:t>
      </w:r>
      <w:r w:rsidR="0079711F" w:rsidRPr="003B0390">
        <w:t xml:space="preserve">ssessment practices </w:t>
      </w:r>
    </w:p>
    <w:p w14:paraId="61A36E06" w14:textId="77777777" w:rsidR="0079711F" w:rsidRPr="00831EEA" w:rsidRDefault="0079711F" w:rsidP="0079711F">
      <w:pPr>
        <w:rPr>
          <w:rFonts w:ascii="Times New Roman" w:hAnsi="Times New Roman" w:cs="Times New Roman"/>
        </w:rPr>
      </w:pPr>
      <w:r w:rsidRPr="00831EEA">
        <w:rPr>
          <w:rFonts w:ascii="Times New Roman" w:hAnsi="Times New Roman" w:cs="Times New Roman"/>
        </w:rPr>
        <w:t xml:space="preserve">Kenmore East assessment will measure student progress against a standard of proficiency and excellence whether these standards are NYS learning standards, the Common Core Standards, the Advanced Placement standards, or the International Baccalaureate standards. Scores and grades </w:t>
      </w:r>
      <w:proofErr w:type="gramStart"/>
      <w:r w:rsidRPr="00831EEA">
        <w:rPr>
          <w:rFonts w:ascii="Times New Roman" w:hAnsi="Times New Roman" w:cs="Times New Roman"/>
        </w:rPr>
        <w:t>are based</w:t>
      </w:r>
      <w:proofErr w:type="gramEnd"/>
      <w:r w:rsidRPr="00831EEA">
        <w:rPr>
          <w:rFonts w:ascii="Times New Roman" w:hAnsi="Times New Roman" w:cs="Times New Roman"/>
        </w:rPr>
        <w:t xml:space="preserve"> on a student’s development toward a standard, not as a means of comparing one student to another.</w:t>
      </w:r>
    </w:p>
    <w:p w14:paraId="55C0BA4A" w14:textId="77777777" w:rsidR="0079711F" w:rsidRPr="00831EEA" w:rsidRDefault="0079711F" w:rsidP="0079711F">
      <w:pPr>
        <w:rPr>
          <w:rFonts w:ascii="Times New Roman" w:hAnsi="Times New Roman" w:cs="Times New Roman"/>
        </w:rPr>
      </w:pPr>
      <w:r w:rsidRPr="00831EEA">
        <w:rPr>
          <w:rFonts w:ascii="Times New Roman" w:hAnsi="Times New Roman" w:cs="Times New Roman"/>
        </w:rPr>
        <w:t>Teachers will make use of both formative and summative assessment.</w:t>
      </w:r>
    </w:p>
    <w:p w14:paraId="5DB7881D" w14:textId="77777777" w:rsidR="0079711F" w:rsidRPr="00831EEA" w:rsidRDefault="0079711F" w:rsidP="0079711F">
      <w:pPr>
        <w:rPr>
          <w:rFonts w:ascii="Times New Roman" w:hAnsi="Times New Roman" w:cs="Times New Roman"/>
        </w:rPr>
      </w:pPr>
      <w:r w:rsidRPr="00831EEA">
        <w:rPr>
          <w:rFonts w:ascii="Times New Roman" w:hAnsi="Times New Roman" w:cs="Times New Roman"/>
        </w:rPr>
        <w:t xml:space="preserve">Formative assessment is assessment </w:t>
      </w:r>
      <w:r w:rsidRPr="00831EEA">
        <w:rPr>
          <w:rFonts w:ascii="Times New Roman" w:hAnsi="Times New Roman" w:cs="Times New Roman"/>
          <w:i/>
        </w:rPr>
        <w:t>for</w:t>
      </w:r>
      <w:r w:rsidRPr="00831EEA">
        <w:rPr>
          <w:rFonts w:ascii="Times New Roman" w:hAnsi="Times New Roman" w:cs="Times New Roman"/>
        </w:rPr>
        <w:t xml:space="preserve"> learning (</w:t>
      </w:r>
      <w:proofErr w:type="spellStart"/>
      <w:r w:rsidRPr="00831EEA">
        <w:rPr>
          <w:rFonts w:ascii="Times New Roman" w:hAnsi="Times New Roman" w:cs="Times New Roman"/>
          <w:bCs/>
        </w:rPr>
        <w:t>Stiggins</w:t>
      </w:r>
      <w:proofErr w:type="spellEnd"/>
      <w:r w:rsidRPr="00831EEA">
        <w:rPr>
          <w:rFonts w:ascii="Times New Roman" w:hAnsi="Times New Roman" w:cs="Times New Roman"/>
          <w:bCs/>
        </w:rPr>
        <w:t xml:space="preserve">, Rick. “From Formative Assessment to Assessment FOR Learning: A Path to Success in Standards-Based Schools,” </w:t>
      </w:r>
      <w:r w:rsidRPr="00831EEA">
        <w:rPr>
          <w:rFonts w:ascii="Times New Roman" w:hAnsi="Times New Roman" w:cs="Times New Roman"/>
          <w:bCs/>
          <w:i/>
          <w:iCs/>
        </w:rPr>
        <w:t xml:space="preserve">Phi Delta </w:t>
      </w:r>
      <w:proofErr w:type="spellStart"/>
      <w:r w:rsidRPr="00831EEA">
        <w:rPr>
          <w:rFonts w:ascii="Times New Roman" w:hAnsi="Times New Roman" w:cs="Times New Roman"/>
          <w:bCs/>
          <w:i/>
          <w:iCs/>
        </w:rPr>
        <w:t>Kappan</w:t>
      </w:r>
      <w:proofErr w:type="spellEnd"/>
      <w:r w:rsidRPr="00831EEA">
        <w:rPr>
          <w:rFonts w:ascii="Times New Roman" w:hAnsi="Times New Roman" w:cs="Times New Roman"/>
          <w:bCs/>
        </w:rPr>
        <w:t>, Vol. 87, No. 04, December 2005, pp. 324-328.)</w:t>
      </w:r>
      <w:r w:rsidRPr="00831EEA">
        <w:rPr>
          <w:rFonts w:ascii="Times New Roman" w:hAnsi="Times New Roman" w:cs="Times New Roman"/>
        </w:rPr>
        <w:t xml:space="preserve">. Teachers and students will use the results of a formative assessment to reflect on learning and progress and to adapt subsequent teaching and student work. Part of formative assessment should ask students to self-assess their work and meta-cognitively reflect on the learning shown in the assessment. Developing meta-cognition skills will help students develop into </w:t>
      </w:r>
      <w:r w:rsidR="00494225" w:rsidRPr="00831EEA">
        <w:rPr>
          <w:rFonts w:ascii="Times New Roman" w:hAnsi="Times New Roman" w:cs="Times New Roman"/>
        </w:rPr>
        <w:t xml:space="preserve">lifelong inquirers and learners – hence why they </w:t>
      </w:r>
      <w:proofErr w:type="gramStart"/>
      <w:r w:rsidR="00494225" w:rsidRPr="00831EEA">
        <w:rPr>
          <w:rFonts w:ascii="Times New Roman" w:hAnsi="Times New Roman" w:cs="Times New Roman"/>
        </w:rPr>
        <w:t>are stressed</w:t>
      </w:r>
      <w:proofErr w:type="gramEnd"/>
      <w:r w:rsidR="00494225" w:rsidRPr="00831EEA">
        <w:rPr>
          <w:rFonts w:ascii="Times New Roman" w:hAnsi="Times New Roman" w:cs="Times New Roman"/>
        </w:rPr>
        <w:t xml:space="preserve"> in TOK.</w:t>
      </w:r>
    </w:p>
    <w:p w14:paraId="58EBA233" w14:textId="78DEA76F" w:rsidR="00515C7E" w:rsidRPr="0046729E" w:rsidRDefault="00515C7E" w:rsidP="00515C7E">
      <w:pPr>
        <w:rPr>
          <w:rFonts w:ascii="Times New Roman" w:hAnsi="Times New Roman" w:cs="Times New Roman"/>
        </w:rPr>
      </w:pPr>
      <w:r w:rsidRPr="0046729E">
        <w:rPr>
          <w:rFonts w:ascii="Times New Roman" w:hAnsi="Times New Roman" w:cs="Times New Roman"/>
        </w:rPr>
        <w:t>Integral to formative assessment is the “process of gathering, analyzing, interpreting and using the evidence to improve student learning” (G</w:t>
      </w:r>
      <w:r w:rsidRPr="0046729E">
        <w:rPr>
          <w:rFonts w:ascii="Times New Roman" w:hAnsi="Times New Roman" w:cs="Times New Roman"/>
          <w:i/>
        </w:rPr>
        <w:t>uidelines for developing a school assessment policy in the Diploma Program</w:t>
      </w:r>
      <w:r w:rsidRPr="0046729E">
        <w:rPr>
          <w:rFonts w:ascii="Times New Roman" w:hAnsi="Times New Roman" w:cs="Times New Roman"/>
        </w:rPr>
        <w:t xml:space="preserve">, 2010). Formative assessment tools and activities may include classroom discussion, ‘ticket out the door’, Classroom Performance System ‘clickers’ or other apps, learning journal, reflective writing, etc. </w:t>
      </w:r>
      <w:r w:rsidR="00831EEA">
        <w:rPr>
          <w:rFonts w:ascii="Times New Roman" w:hAnsi="Times New Roman" w:cs="Times New Roman"/>
        </w:rPr>
        <w:t xml:space="preserve">Formative assessment may occur many times within a </w:t>
      </w:r>
      <w:proofErr w:type="spellStart"/>
      <w:r w:rsidR="00831EEA">
        <w:rPr>
          <w:rFonts w:ascii="Times New Roman" w:hAnsi="Times New Roman" w:cs="Times New Roman"/>
        </w:rPr>
        <w:t>period.</w:t>
      </w:r>
      <w:r w:rsidRPr="0046729E">
        <w:rPr>
          <w:rFonts w:ascii="Times New Roman" w:hAnsi="Times New Roman" w:cs="Times New Roman"/>
        </w:rPr>
        <w:t>This</w:t>
      </w:r>
      <w:proofErr w:type="spellEnd"/>
      <w:r w:rsidRPr="0046729E">
        <w:rPr>
          <w:rFonts w:ascii="Times New Roman" w:hAnsi="Times New Roman" w:cs="Times New Roman"/>
        </w:rPr>
        <w:t xml:space="preserve"> work may count towards a student’s participation grade in class, but it </w:t>
      </w:r>
      <w:proofErr w:type="gramStart"/>
      <w:r w:rsidRPr="0046729E">
        <w:rPr>
          <w:rFonts w:ascii="Times New Roman" w:hAnsi="Times New Roman" w:cs="Times New Roman"/>
        </w:rPr>
        <w:t>is not graded</w:t>
      </w:r>
      <w:proofErr w:type="gramEnd"/>
      <w:r w:rsidRPr="0046729E">
        <w:rPr>
          <w:rFonts w:ascii="Times New Roman" w:hAnsi="Times New Roman" w:cs="Times New Roman"/>
        </w:rPr>
        <w:t xml:space="preserve"> based on its correctness: the purpose is to measure where they are, not to punish them for not being up to standard mid-course.</w:t>
      </w:r>
    </w:p>
    <w:p w14:paraId="64EDBB91" w14:textId="16E132FE" w:rsidR="0079711F" w:rsidRDefault="0079711F" w:rsidP="0079711F">
      <w:pPr>
        <w:rPr>
          <w:rFonts w:ascii="Times New Roman" w:hAnsi="Times New Roman" w:cs="Times New Roman"/>
        </w:rPr>
      </w:pPr>
      <w:r w:rsidRPr="00831EEA">
        <w:rPr>
          <w:rFonts w:ascii="Times New Roman" w:hAnsi="Times New Roman" w:cs="Times New Roman"/>
        </w:rPr>
        <w:t xml:space="preserve">Summative assessment </w:t>
      </w:r>
      <w:proofErr w:type="gramStart"/>
      <w:r w:rsidRPr="00831EEA">
        <w:rPr>
          <w:rFonts w:ascii="Times New Roman" w:hAnsi="Times New Roman" w:cs="Times New Roman"/>
        </w:rPr>
        <w:t>is designed</w:t>
      </w:r>
      <w:proofErr w:type="gramEnd"/>
      <w:r w:rsidRPr="00831EEA">
        <w:rPr>
          <w:rFonts w:ascii="Times New Roman" w:hAnsi="Times New Roman" w:cs="Times New Roman"/>
        </w:rPr>
        <w:t xml:space="preserve"> to measure a student’s learning at the end of a unit of study, its purpose to </w:t>
      </w:r>
      <w:r w:rsidR="00494225" w:rsidRPr="00831EEA">
        <w:rPr>
          <w:rFonts w:ascii="Times New Roman" w:hAnsi="Times New Roman" w:cs="Times New Roman"/>
        </w:rPr>
        <w:t>rate</w:t>
      </w:r>
      <w:r w:rsidRPr="00831EEA">
        <w:rPr>
          <w:rFonts w:ascii="Times New Roman" w:hAnsi="Times New Roman" w:cs="Times New Roman"/>
        </w:rPr>
        <w:t xml:space="preserve"> a student against the standard. Obviously, the results of these assessments </w:t>
      </w:r>
      <w:proofErr w:type="gramStart"/>
      <w:r w:rsidRPr="00831EEA">
        <w:rPr>
          <w:rFonts w:ascii="Times New Roman" w:hAnsi="Times New Roman" w:cs="Times New Roman"/>
        </w:rPr>
        <w:t>will also be used</w:t>
      </w:r>
      <w:proofErr w:type="gramEnd"/>
      <w:r w:rsidRPr="00831EEA">
        <w:rPr>
          <w:rFonts w:ascii="Times New Roman" w:hAnsi="Times New Roman" w:cs="Times New Roman"/>
        </w:rPr>
        <w:t xml:space="preserve"> formatively when they are given mid-course. Standardized tests at the end of a course -- the Regents exams, AP exams, and IB assessments -- have less formative value than the assessments given during a course.</w:t>
      </w:r>
    </w:p>
    <w:p w14:paraId="586E032D" w14:textId="0A1EF0FA" w:rsidR="0042575A" w:rsidRDefault="00515C7E" w:rsidP="0079711F">
      <w:pPr>
        <w:rPr>
          <w:rFonts w:ascii="Times New Roman" w:hAnsi="Times New Roman" w:cs="Times New Roman"/>
        </w:rPr>
      </w:pPr>
      <w:r>
        <w:rPr>
          <w:rFonts w:ascii="Times New Roman" w:hAnsi="Times New Roman" w:cs="Times New Roman"/>
        </w:rPr>
        <w:t xml:space="preserve">In developing both summative and formative assessments, teachers will use the DP assessment </w:t>
      </w:r>
      <w:r w:rsidR="000F70D2">
        <w:rPr>
          <w:rFonts w:ascii="Times New Roman" w:hAnsi="Times New Roman" w:cs="Times New Roman"/>
        </w:rPr>
        <w:t xml:space="preserve">criteria outlined in the IB course </w:t>
      </w:r>
      <w:proofErr w:type="gramStart"/>
      <w:r w:rsidR="000F70D2">
        <w:rPr>
          <w:rFonts w:ascii="Times New Roman" w:hAnsi="Times New Roman" w:cs="Times New Roman"/>
        </w:rPr>
        <w:t>guides which spell out what students</w:t>
      </w:r>
      <w:proofErr w:type="gramEnd"/>
      <w:r w:rsidR="000F70D2">
        <w:rPr>
          <w:rFonts w:ascii="Times New Roman" w:hAnsi="Times New Roman" w:cs="Times New Roman"/>
        </w:rPr>
        <w:t xml:space="preserve"> need to know and be able to do by the end of the course. Teachers – working together if more than one is teaching the same course --will determine mid-course </w:t>
      </w:r>
      <w:proofErr w:type="gramStart"/>
      <w:r w:rsidR="000F70D2">
        <w:rPr>
          <w:rFonts w:ascii="Times New Roman" w:hAnsi="Times New Roman" w:cs="Times New Roman"/>
        </w:rPr>
        <w:t>benchmarks which</w:t>
      </w:r>
      <w:proofErr w:type="gramEnd"/>
      <w:r w:rsidR="000F70D2">
        <w:rPr>
          <w:rFonts w:ascii="Times New Roman" w:hAnsi="Times New Roman" w:cs="Times New Roman"/>
        </w:rPr>
        <w:t xml:space="preserve"> will lead the final DP assessments.</w:t>
      </w:r>
    </w:p>
    <w:p w14:paraId="600F56B3" w14:textId="71C7C0BB" w:rsidR="00A00B10" w:rsidRDefault="00A00B10" w:rsidP="0079711F">
      <w:pPr>
        <w:rPr>
          <w:rFonts w:ascii="Times New Roman" w:hAnsi="Times New Roman" w:cs="Times New Roman"/>
        </w:rPr>
      </w:pPr>
      <w:r>
        <w:rPr>
          <w:rFonts w:ascii="Times New Roman" w:hAnsi="Times New Roman" w:cs="Times New Roman"/>
        </w:rPr>
        <w:lastRenderedPageBreak/>
        <w:t xml:space="preserve">Currently, there are no IB sections taught by more than one teacher – only English </w:t>
      </w:r>
      <w:proofErr w:type="gramStart"/>
      <w:r>
        <w:rPr>
          <w:rFonts w:ascii="Times New Roman" w:hAnsi="Times New Roman" w:cs="Times New Roman"/>
        </w:rPr>
        <w:t>A</w:t>
      </w:r>
      <w:proofErr w:type="gramEnd"/>
      <w:r>
        <w:rPr>
          <w:rFonts w:ascii="Times New Roman" w:hAnsi="Times New Roman" w:cs="Times New Roman"/>
        </w:rPr>
        <w:t xml:space="preserve"> HL and HOTA HL </w:t>
      </w:r>
      <w:r w:rsidR="00B66008">
        <w:rPr>
          <w:rFonts w:ascii="Times New Roman" w:hAnsi="Times New Roman" w:cs="Times New Roman"/>
        </w:rPr>
        <w:t xml:space="preserve">have </w:t>
      </w:r>
      <w:r>
        <w:rPr>
          <w:rFonts w:ascii="Times New Roman" w:hAnsi="Times New Roman" w:cs="Times New Roman"/>
        </w:rPr>
        <w:t xml:space="preserve">different teachers for junior and senior year. When scoring IAs in these two courses, teachers will meet to standardize their scoring. They will grade together to reach consensus on sample papers, reaching consensus as a team. If they cannot reach consensus on one or more papers, the DP Coordinator </w:t>
      </w:r>
      <w:proofErr w:type="gramStart"/>
      <w:r>
        <w:rPr>
          <w:rFonts w:ascii="Times New Roman" w:hAnsi="Times New Roman" w:cs="Times New Roman"/>
        </w:rPr>
        <w:t>may be called in</w:t>
      </w:r>
      <w:proofErr w:type="gramEnd"/>
      <w:r>
        <w:rPr>
          <w:rFonts w:ascii="Times New Roman" w:hAnsi="Times New Roman" w:cs="Times New Roman"/>
        </w:rPr>
        <w:t xml:space="preserve"> to help with the process.  </w:t>
      </w:r>
      <w:r w:rsidR="00B66008">
        <w:rPr>
          <w:rFonts w:ascii="Times New Roman" w:hAnsi="Times New Roman" w:cs="Times New Roman"/>
        </w:rPr>
        <w:t xml:space="preserve">If staffing or enrollment changes dramatically over the next few years and we have more than one teacher teaching the same course, a similar process </w:t>
      </w:r>
      <w:proofErr w:type="gramStart"/>
      <w:r w:rsidR="00B66008">
        <w:rPr>
          <w:rFonts w:ascii="Times New Roman" w:hAnsi="Times New Roman" w:cs="Times New Roman"/>
        </w:rPr>
        <w:t>will be used</w:t>
      </w:r>
      <w:proofErr w:type="gramEnd"/>
      <w:r w:rsidR="00B66008">
        <w:rPr>
          <w:rFonts w:ascii="Times New Roman" w:hAnsi="Times New Roman" w:cs="Times New Roman"/>
        </w:rPr>
        <w:t xml:space="preserve"> for all summative assessments. </w:t>
      </w:r>
    </w:p>
    <w:p w14:paraId="0BBF65BF" w14:textId="0111758D" w:rsidR="0042575A" w:rsidRDefault="0042575A" w:rsidP="00831EEA">
      <w:pPr>
        <w:pStyle w:val="Heading2"/>
      </w:pPr>
      <w:r w:rsidRPr="00831EEA">
        <w:t>Command terms with definitions</w:t>
      </w:r>
    </w:p>
    <w:p w14:paraId="15D74FDB" w14:textId="21EBC99A" w:rsidR="001667C4" w:rsidRPr="00831EEA" w:rsidRDefault="001667C4" w:rsidP="00831EEA">
      <w:pPr>
        <w:rPr>
          <w:rFonts w:ascii="Times New Roman" w:hAnsi="Times New Roman" w:cs="Times New Roman"/>
        </w:rPr>
      </w:pPr>
      <w:r w:rsidRPr="00831EEA">
        <w:rPr>
          <w:rFonts w:ascii="Times New Roman" w:hAnsi="Times New Roman" w:cs="Times New Roman"/>
        </w:rPr>
        <w:t xml:space="preserve">To ensure that Kenmore East assessments are using a shared vocabulary with IB assessments, the following terms and phrases </w:t>
      </w:r>
      <w:proofErr w:type="gramStart"/>
      <w:r w:rsidRPr="00831EEA">
        <w:rPr>
          <w:rFonts w:ascii="Times New Roman" w:hAnsi="Times New Roman" w:cs="Times New Roman"/>
        </w:rPr>
        <w:t>will be understood</w:t>
      </w:r>
      <w:proofErr w:type="gramEnd"/>
      <w:r w:rsidRPr="00831EEA">
        <w:rPr>
          <w:rFonts w:ascii="Times New Roman" w:hAnsi="Times New Roman" w:cs="Times New Roman"/>
        </w:rPr>
        <w:t xml:space="preserve"> by teachers and students as described here</w:t>
      </w:r>
      <w:r>
        <w:rPr>
          <w:rFonts w:ascii="Times New Roman" w:hAnsi="Times New Roman" w:cs="Times New Roman"/>
        </w:rPr>
        <w:t xml:space="preserve">. </w:t>
      </w:r>
    </w:p>
    <w:p w14:paraId="7E229C38" w14:textId="77777777" w:rsidR="0042575A" w:rsidRPr="00DF41A2" w:rsidRDefault="0042575A" w:rsidP="0042575A">
      <w:pPr>
        <w:shd w:val="clear" w:color="auto" w:fill="FFFFFF"/>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795"/>
        <w:gridCol w:w="7555"/>
      </w:tblGrid>
      <w:tr w:rsidR="0042575A" w:rsidRPr="00DF41A2" w14:paraId="2A0A34C0" w14:textId="77777777" w:rsidTr="00DF41A2">
        <w:tc>
          <w:tcPr>
            <w:tcW w:w="1795" w:type="dxa"/>
          </w:tcPr>
          <w:p w14:paraId="10D01352"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Analyze</w:t>
            </w:r>
          </w:p>
        </w:tc>
        <w:tc>
          <w:tcPr>
            <w:tcW w:w="7555" w:type="dxa"/>
          </w:tcPr>
          <w:p w14:paraId="1981F7C0"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Break down in order to bring out the essential elements or structure.</w:t>
            </w:r>
          </w:p>
        </w:tc>
      </w:tr>
      <w:tr w:rsidR="0042575A" w:rsidRPr="00DF41A2" w14:paraId="7C11C226" w14:textId="77777777" w:rsidTr="00DF41A2">
        <w:tc>
          <w:tcPr>
            <w:tcW w:w="1795" w:type="dxa"/>
          </w:tcPr>
          <w:p w14:paraId="649685D6"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Comment</w:t>
            </w:r>
          </w:p>
        </w:tc>
        <w:tc>
          <w:tcPr>
            <w:tcW w:w="7555" w:type="dxa"/>
          </w:tcPr>
          <w:p w14:paraId="7D9945A5"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Give a judgment based on a given statement or result of a calculation.</w:t>
            </w:r>
          </w:p>
        </w:tc>
      </w:tr>
      <w:tr w:rsidR="0042575A" w:rsidRPr="00DF41A2" w14:paraId="373DCCC1" w14:textId="77777777" w:rsidTr="00DF41A2">
        <w:tc>
          <w:tcPr>
            <w:tcW w:w="1795" w:type="dxa"/>
          </w:tcPr>
          <w:p w14:paraId="50522BB5"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Compare</w:t>
            </w:r>
          </w:p>
        </w:tc>
        <w:tc>
          <w:tcPr>
            <w:tcW w:w="7555" w:type="dxa"/>
          </w:tcPr>
          <w:p w14:paraId="7B639AFD"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Give an account of the similarities between two (or more) items or situations, referring to both (all) of them throughout.</w:t>
            </w:r>
          </w:p>
        </w:tc>
      </w:tr>
      <w:tr w:rsidR="0042575A" w:rsidRPr="00DF41A2" w14:paraId="3EB0CA62" w14:textId="77777777" w:rsidTr="00DF41A2">
        <w:tc>
          <w:tcPr>
            <w:tcW w:w="1795" w:type="dxa"/>
          </w:tcPr>
          <w:p w14:paraId="58E4D0DE"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Compare and contrast</w:t>
            </w:r>
          </w:p>
        </w:tc>
        <w:tc>
          <w:tcPr>
            <w:tcW w:w="7555" w:type="dxa"/>
          </w:tcPr>
          <w:p w14:paraId="5D2DBCCC"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Give an account of similarities and differences between two (or more) items or situations, referring to both (all) of them throughout.</w:t>
            </w:r>
          </w:p>
        </w:tc>
      </w:tr>
      <w:tr w:rsidR="0042575A" w:rsidRPr="00DF41A2" w14:paraId="4BF4BD3A" w14:textId="77777777" w:rsidTr="00DF41A2">
        <w:tc>
          <w:tcPr>
            <w:tcW w:w="1795" w:type="dxa"/>
          </w:tcPr>
          <w:p w14:paraId="1F50D723"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Contrast</w:t>
            </w:r>
          </w:p>
        </w:tc>
        <w:tc>
          <w:tcPr>
            <w:tcW w:w="7555" w:type="dxa"/>
          </w:tcPr>
          <w:p w14:paraId="7B5A22C4"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Give an account of the differences between two (or more) items or</w:t>
            </w:r>
            <w:r w:rsidRPr="00DF41A2">
              <w:rPr>
                <w:rFonts w:ascii="Times New Roman" w:hAnsi="Times New Roman" w:cs="Times New Roman"/>
                <w:sz w:val="24"/>
                <w:szCs w:val="24"/>
              </w:rPr>
              <w:t xml:space="preserve"> </w:t>
            </w:r>
            <w:r w:rsidRPr="00DF41A2">
              <w:rPr>
                <w:rFonts w:ascii="Times New Roman" w:eastAsia="Times New Roman" w:hAnsi="Times New Roman" w:cs="Times New Roman"/>
                <w:sz w:val="24"/>
                <w:szCs w:val="24"/>
              </w:rPr>
              <w:t xml:space="preserve">situations, referring to both (all) of them throughout. </w:t>
            </w:r>
          </w:p>
        </w:tc>
      </w:tr>
      <w:tr w:rsidR="0042575A" w:rsidRPr="00DF41A2" w14:paraId="3846E8C1" w14:textId="77777777" w:rsidTr="00DF41A2">
        <w:tc>
          <w:tcPr>
            <w:tcW w:w="1795" w:type="dxa"/>
          </w:tcPr>
          <w:p w14:paraId="070C3603"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Describe</w:t>
            </w:r>
          </w:p>
        </w:tc>
        <w:tc>
          <w:tcPr>
            <w:tcW w:w="7555" w:type="dxa"/>
          </w:tcPr>
          <w:p w14:paraId="7A80BFB1"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Give a detailed account.</w:t>
            </w:r>
          </w:p>
        </w:tc>
      </w:tr>
      <w:tr w:rsidR="0042575A" w:rsidRPr="00DF41A2" w14:paraId="249ADAFC" w14:textId="77777777" w:rsidTr="00DF41A2">
        <w:tc>
          <w:tcPr>
            <w:tcW w:w="1795" w:type="dxa"/>
          </w:tcPr>
          <w:p w14:paraId="135C0CE8"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Discuss</w:t>
            </w:r>
          </w:p>
        </w:tc>
        <w:tc>
          <w:tcPr>
            <w:tcW w:w="7555" w:type="dxa"/>
          </w:tcPr>
          <w:p w14:paraId="4D67DD1F"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 xml:space="preserve">Offer a considered and balanced review that includes a range of arguments factors or hypotheses. Opinions or conclusions </w:t>
            </w:r>
            <w:proofErr w:type="gramStart"/>
            <w:r w:rsidRPr="00DF41A2">
              <w:rPr>
                <w:rFonts w:ascii="Times New Roman" w:eastAsia="Times New Roman" w:hAnsi="Times New Roman" w:cs="Times New Roman"/>
                <w:sz w:val="24"/>
                <w:szCs w:val="24"/>
              </w:rPr>
              <w:t>should be presented clearly</w:t>
            </w:r>
            <w:r w:rsidRPr="00DF41A2">
              <w:rPr>
                <w:rFonts w:ascii="Times New Roman" w:hAnsi="Times New Roman" w:cs="Times New Roman"/>
                <w:sz w:val="24"/>
                <w:szCs w:val="24"/>
              </w:rPr>
              <w:t xml:space="preserve"> </w:t>
            </w:r>
            <w:r w:rsidRPr="00DF41A2">
              <w:rPr>
                <w:rFonts w:ascii="Times New Roman" w:eastAsia="Times New Roman" w:hAnsi="Times New Roman" w:cs="Times New Roman"/>
                <w:sz w:val="24"/>
                <w:szCs w:val="24"/>
              </w:rPr>
              <w:t>and supported by appropriate evidence</w:t>
            </w:r>
            <w:proofErr w:type="gramEnd"/>
            <w:r w:rsidRPr="00DF41A2">
              <w:rPr>
                <w:rFonts w:ascii="Times New Roman" w:eastAsia="Times New Roman" w:hAnsi="Times New Roman" w:cs="Times New Roman"/>
                <w:sz w:val="24"/>
                <w:szCs w:val="24"/>
              </w:rPr>
              <w:t>.</w:t>
            </w:r>
          </w:p>
        </w:tc>
      </w:tr>
      <w:tr w:rsidR="0042575A" w:rsidRPr="00DF41A2" w14:paraId="5E146734" w14:textId="77777777" w:rsidTr="00DF41A2">
        <w:tc>
          <w:tcPr>
            <w:tcW w:w="1795" w:type="dxa"/>
          </w:tcPr>
          <w:p w14:paraId="63CFBE86"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Evaluate</w:t>
            </w:r>
          </w:p>
        </w:tc>
        <w:tc>
          <w:tcPr>
            <w:tcW w:w="7555" w:type="dxa"/>
          </w:tcPr>
          <w:p w14:paraId="33CD17BC"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Make an appraisal by weighing up the strengths and limitations.</w:t>
            </w:r>
          </w:p>
        </w:tc>
      </w:tr>
      <w:tr w:rsidR="0042575A" w:rsidRPr="00DF41A2" w14:paraId="5774D9B5" w14:textId="77777777" w:rsidTr="00DF41A2">
        <w:tc>
          <w:tcPr>
            <w:tcW w:w="1795" w:type="dxa"/>
          </w:tcPr>
          <w:p w14:paraId="4FC822E9"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Examine</w:t>
            </w:r>
          </w:p>
        </w:tc>
        <w:tc>
          <w:tcPr>
            <w:tcW w:w="7555" w:type="dxa"/>
          </w:tcPr>
          <w:p w14:paraId="4BF0297F"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Consider an argument or concept in a way that uncovers the assumptions</w:t>
            </w:r>
            <w:r w:rsidRPr="00DF41A2">
              <w:rPr>
                <w:rFonts w:ascii="Times New Roman" w:hAnsi="Times New Roman" w:cs="Times New Roman"/>
                <w:sz w:val="24"/>
                <w:szCs w:val="24"/>
              </w:rPr>
              <w:t xml:space="preserve"> </w:t>
            </w:r>
            <w:r w:rsidRPr="00DF41A2">
              <w:rPr>
                <w:rFonts w:ascii="Times New Roman" w:eastAsia="Times New Roman" w:hAnsi="Times New Roman" w:cs="Times New Roman"/>
                <w:sz w:val="24"/>
                <w:szCs w:val="24"/>
              </w:rPr>
              <w:t>and interrelationships of the issue.</w:t>
            </w:r>
          </w:p>
        </w:tc>
      </w:tr>
      <w:tr w:rsidR="0042575A" w:rsidRPr="00DF41A2" w14:paraId="377CC12D" w14:textId="77777777" w:rsidTr="00DF41A2">
        <w:tc>
          <w:tcPr>
            <w:tcW w:w="1795" w:type="dxa"/>
          </w:tcPr>
          <w:p w14:paraId="38D0D629"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Explain</w:t>
            </w:r>
          </w:p>
        </w:tc>
        <w:tc>
          <w:tcPr>
            <w:tcW w:w="7555" w:type="dxa"/>
          </w:tcPr>
          <w:p w14:paraId="3EB4C1D4"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Give a detailed account including reasons or causes.</w:t>
            </w:r>
          </w:p>
        </w:tc>
      </w:tr>
      <w:tr w:rsidR="0042575A" w:rsidRPr="00DF41A2" w14:paraId="620B3D46" w14:textId="77777777" w:rsidTr="00DF41A2">
        <w:tc>
          <w:tcPr>
            <w:tcW w:w="1795" w:type="dxa"/>
          </w:tcPr>
          <w:p w14:paraId="480BA90C"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Explore</w:t>
            </w:r>
          </w:p>
        </w:tc>
        <w:tc>
          <w:tcPr>
            <w:tcW w:w="7555" w:type="dxa"/>
          </w:tcPr>
          <w:p w14:paraId="02611910"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Undertake a systematic process of discovery.</w:t>
            </w:r>
          </w:p>
        </w:tc>
      </w:tr>
      <w:tr w:rsidR="0042575A" w:rsidRPr="00DF41A2" w14:paraId="329E13E6" w14:textId="77777777" w:rsidTr="00DF41A2">
        <w:tc>
          <w:tcPr>
            <w:tcW w:w="1795" w:type="dxa"/>
          </w:tcPr>
          <w:p w14:paraId="643A84B1"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Interpret</w:t>
            </w:r>
          </w:p>
        </w:tc>
        <w:tc>
          <w:tcPr>
            <w:tcW w:w="7555" w:type="dxa"/>
          </w:tcPr>
          <w:p w14:paraId="3401581D" w14:textId="77777777" w:rsidR="0042575A" w:rsidRPr="00DF41A2" w:rsidRDefault="0042575A" w:rsidP="00DF41A2">
            <w:pPr>
              <w:shd w:val="clear" w:color="auto" w:fill="FFFFFF"/>
              <w:rPr>
                <w:rFonts w:ascii="Times New Roman" w:eastAsia="Times New Roman" w:hAnsi="Times New Roman" w:cs="Times New Roman"/>
                <w:sz w:val="24"/>
                <w:szCs w:val="24"/>
              </w:rPr>
            </w:pPr>
            <w:proofErr w:type="gramStart"/>
            <w:r w:rsidRPr="00DF41A2">
              <w:rPr>
                <w:rFonts w:ascii="Times New Roman" w:eastAsia="Times New Roman" w:hAnsi="Times New Roman" w:cs="Times New Roman"/>
                <w:sz w:val="24"/>
                <w:szCs w:val="24"/>
              </w:rPr>
              <w:t>Use  knowledge</w:t>
            </w:r>
            <w:proofErr w:type="gramEnd"/>
            <w:r w:rsidRPr="00DF41A2">
              <w:rPr>
                <w:rFonts w:ascii="Times New Roman" w:eastAsia="Times New Roman" w:hAnsi="Times New Roman" w:cs="Times New Roman"/>
                <w:sz w:val="24"/>
                <w:szCs w:val="24"/>
              </w:rPr>
              <w:t xml:space="preserve">  and  understanding  to  recognize  trends  and  draw</w:t>
            </w:r>
            <w:r w:rsidRPr="00DF41A2">
              <w:rPr>
                <w:rFonts w:ascii="Times New Roman" w:hAnsi="Times New Roman" w:cs="Times New Roman"/>
                <w:sz w:val="24"/>
                <w:szCs w:val="24"/>
              </w:rPr>
              <w:t xml:space="preserve"> </w:t>
            </w:r>
            <w:r w:rsidRPr="00DF41A2">
              <w:rPr>
                <w:rFonts w:ascii="Times New Roman" w:eastAsia="Times New Roman" w:hAnsi="Times New Roman" w:cs="Times New Roman"/>
                <w:sz w:val="24"/>
                <w:szCs w:val="24"/>
              </w:rPr>
              <w:t>conclusions from given information.</w:t>
            </w:r>
          </w:p>
        </w:tc>
      </w:tr>
      <w:tr w:rsidR="0042575A" w:rsidRPr="00DF41A2" w14:paraId="741112B8" w14:textId="77777777" w:rsidTr="00DF41A2">
        <w:tc>
          <w:tcPr>
            <w:tcW w:w="1795" w:type="dxa"/>
          </w:tcPr>
          <w:p w14:paraId="756E1D57"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Investigate</w:t>
            </w:r>
          </w:p>
        </w:tc>
        <w:tc>
          <w:tcPr>
            <w:tcW w:w="7555" w:type="dxa"/>
          </w:tcPr>
          <w:p w14:paraId="1C689B0D"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Observe, study, or make a detailed and systematic examination, in order to</w:t>
            </w:r>
            <w:r w:rsidRPr="00DF41A2">
              <w:rPr>
                <w:rFonts w:ascii="Times New Roman" w:hAnsi="Times New Roman" w:cs="Times New Roman"/>
                <w:sz w:val="24"/>
                <w:szCs w:val="24"/>
              </w:rPr>
              <w:t xml:space="preserve"> </w:t>
            </w:r>
            <w:r w:rsidRPr="00DF41A2">
              <w:rPr>
                <w:rFonts w:ascii="Times New Roman" w:eastAsia="Times New Roman" w:hAnsi="Times New Roman" w:cs="Times New Roman"/>
                <w:sz w:val="24"/>
                <w:szCs w:val="24"/>
              </w:rPr>
              <w:t>establish facts and reach new conclusions.</w:t>
            </w:r>
          </w:p>
        </w:tc>
      </w:tr>
      <w:tr w:rsidR="0042575A" w:rsidRPr="00DF41A2" w14:paraId="6A8E4D7C" w14:textId="77777777" w:rsidTr="00DF41A2">
        <w:tc>
          <w:tcPr>
            <w:tcW w:w="1795" w:type="dxa"/>
          </w:tcPr>
          <w:p w14:paraId="4E08043F"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Justify</w:t>
            </w:r>
          </w:p>
        </w:tc>
        <w:tc>
          <w:tcPr>
            <w:tcW w:w="7555" w:type="dxa"/>
          </w:tcPr>
          <w:p w14:paraId="2497B1D7"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Give valid reasons or evidence to support an answer or conclusion.</w:t>
            </w:r>
          </w:p>
        </w:tc>
      </w:tr>
      <w:tr w:rsidR="0042575A" w:rsidRPr="00DF41A2" w14:paraId="3E232715" w14:textId="77777777" w:rsidTr="00DF41A2">
        <w:tc>
          <w:tcPr>
            <w:tcW w:w="1795" w:type="dxa"/>
          </w:tcPr>
          <w:p w14:paraId="703F79B7"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To what extent</w:t>
            </w:r>
          </w:p>
        </w:tc>
        <w:tc>
          <w:tcPr>
            <w:tcW w:w="7555" w:type="dxa"/>
          </w:tcPr>
          <w:p w14:paraId="4E2D625B" w14:textId="77777777" w:rsidR="0042575A" w:rsidRPr="00DF41A2" w:rsidRDefault="0042575A" w:rsidP="00DF41A2">
            <w:pPr>
              <w:shd w:val="clear" w:color="auto" w:fill="FFFFFF"/>
              <w:rPr>
                <w:rFonts w:ascii="Times New Roman" w:eastAsia="Times New Roman" w:hAnsi="Times New Roman" w:cs="Times New Roman"/>
                <w:sz w:val="24"/>
                <w:szCs w:val="24"/>
              </w:rPr>
            </w:pPr>
            <w:r w:rsidRPr="00DF41A2">
              <w:rPr>
                <w:rFonts w:ascii="Times New Roman" w:eastAsia="Times New Roman" w:hAnsi="Times New Roman" w:cs="Times New Roman"/>
                <w:sz w:val="24"/>
                <w:szCs w:val="24"/>
              </w:rPr>
              <w:t>Consider the merits or otherwise of an argument or concept. Opinions and conclusions should be presented clearly and supported with appropriate evidence and sound argument</w:t>
            </w:r>
          </w:p>
        </w:tc>
      </w:tr>
    </w:tbl>
    <w:p w14:paraId="659F2B4A" w14:textId="76E901CD" w:rsidR="0042575A" w:rsidRDefault="0042575A" w:rsidP="00831EEA">
      <w:pPr>
        <w:jc w:val="right"/>
        <w:rPr>
          <w:rFonts w:ascii="Times New Roman" w:hAnsi="Times New Roman"/>
          <w:szCs w:val="24"/>
        </w:rPr>
      </w:pPr>
      <w:r>
        <w:rPr>
          <w:rFonts w:ascii="Times New Roman" w:hAnsi="Times New Roman"/>
          <w:szCs w:val="24"/>
        </w:rPr>
        <w:t>(</w:t>
      </w:r>
      <w:r w:rsidRPr="00831EEA">
        <w:rPr>
          <w:rFonts w:ascii="Times New Roman" w:hAnsi="Times New Roman"/>
          <w:i/>
          <w:szCs w:val="24"/>
        </w:rPr>
        <w:t>IBO Course Guide</w:t>
      </w:r>
      <w:r>
        <w:rPr>
          <w:rFonts w:ascii="Times New Roman" w:hAnsi="Times New Roman"/>
          <w:szCs w:val="24"/>
        </w:rPr>
        <w:t>s, 2011)</w:t>
      </w:r>
      <w:r w:rsidRPr="0076695D" w:rsidDel="0088271E">
        <w:rPr>
          <w:rFonts w:ascii="Times New Roman" w:hAnsi="Times New Roman"/>
          <w:szCs w:val="24"/>
        </w:rPr>
        <w:t xml:space="preserve"> </w:t>
      </w:r>
    </w:p>
    <w:p w14:paraId="5C58FAB2" w14:textId="3822024F" w:rsidR="00515C7E" w:rsidRPr="00831EEA" w:rsidRDefault="00515C7E" w:rsidP="0079711F">
      <w:pPr>
        <w:rPr>
          <w:rFonts w:ascii="Times New Roman" w:hAnsi="Times New Roman" w:cs="Times New Roman"/>
        </w:rPr>
      </w:pPr>
    </w:p>
    <w:p w14:paraId="1957DBFA" w14:textId="77777777" w:rsidR="0042575A" w:rsidRDefault="0042575A">
      <w:pPr>
        <w:rPr>
          <w:rFonts w:ascii="Times New Roman" w:eastAsia="ヒラギノ角ゴ Pro W3" w:hAnsi="Times New Roman" w:cs="Times New Roman"/>
          <w:b/>
          <w:bCs/>
          <w:i/>
          <w:iCs/>
          <w:color w:val="000000"/>
          <w:sz w:val="28"/>
          <w:szCs w:val="28"/>
        </w:rPr>
      </w:pPr>
      <w:r>
        <w:rPr>
          <w:rFonts w:ascii="Times New Roman" w:hAnsi="Times New Roman" w:cs="Times New Roman"/>
        </w:rPr>
        <w:br w:type="page"/>
      </w:r>
    </w:p>
    <w:p w14:paraId="13C0A78A" w14:textId="77777777" w:rsidR="0079711F" w:rsidRPr="0076695D" w:rsidRDefault="0079711F" w:rsidP="0079711F">
      <w:pPr>
        <w:pStyle w:val="Heading2"/>
        <w:rPr>
          <w:rFonts w:ascii="Times New Roman" w:hAnsi="Times New Roman"/>
          <w:szCs w:val="24"/>
        </w:rPr>
      </w:pPr>
      <w:r>
        <w:t>Assessment guidelines</w:t>
      </w:r>
    </w:p>
    <w:p w14:paraId="60E8276E" w14:textId="77777777" w:rsidR="0079711F" w:rsidRPr="003B0390" w:rsidRDefault="0079711F" w:rsidP="0079711F">
      <w:pPr>
        <w:pStyle w:val="Body"/>
        <w:numPr>
          <w:ilvl w:val="0"/>
          <w:numId w:val="1"/>
        </w:numPr>
        <w:rPr>
          <w:rFonts w:ascii="Times New Roman" w:hAnsi="Times New Roman"/>
          <w:b/>
          <w:szCs w:val="24"/>
        </w:rPr>
      </w:pPr>
      <w:r>
        <w:rPr>
          <w:rFonts w:ascii="Times New Roman" w:hAnsi="Times New Roman"/>
          <w:b/>
          <w:szCs w:val="24"/>
        </w:rPr>
        <w:t>G</w:t>
      </w:r>
      <w:r w:rsidRPr="003B0390">
        <w:rPr>
          <w:rFonts w:ascii="Times New Roman" w:hAnsi="Times New Roman"/>
          <w:b/>
          <w:szCs w:val="24"/>
        </w:rPr>
        <w:t>ra</w:t>
      </w:r>
      <w:r>
        <w:rPr>
          <w:rFonts w:ascii="Times New Roman" w:hAnsi="Times New Roman"/>
          <w:b/>
          <w:szCs w:val="24"/>
        </w:rPr>
        <w:t>ding and M</w:t>
      </w:r>
      <w:r w:rsidRPr="003B0390">
        <w:rPr>
          <w:rFonts w:ascii="Times New Roman" w:hAnsi="Times New Roman"/>
          <w:b/>
          <w:szCs w:val="24"/>
        </w:rPr>
        <w:t>arking</w:t>
      </w:r>
    </w:p>
    <w:p w14:paraId="453DA00C" w14:textId="77777777" w:rsidR="0079711F" w:rsidRPr="0076695D" w:rsidRDefault="0079711F" w:rsidP="0079711F">
      <w:pPr>
        <w:pStyle w:val="Body"/>
        <w:numPr>
          <w:ilvl w:val="1"/>
          <w:numId w:val="1"/>
        </w:numPr>
        <w:rPr>
          <w:rFonts w:ascii="Times New Roman" w:hAnsi="Times New Roman"/>
          <w:szCs w:val="24"/>
        </w:rPr>
      </w:pPr>
      <w:r w:rsidRPr="0076695D">
        <w:rPr>
          <w:rFonts w:ascii="Times New Roman" w:hAnsi="Times New Roman"/>
          <w:szCs w:val="24"/>
        </w:rPr>
        <w:t>When grading student work, teachers will use rubrics and other means of measuring student progress toward the established standard for the course whether it is NYS standard, Common Core Standards, AP standard or IB standard</w:t>
      </w:r>
    </w:p>
    <w:p w14:paraId="6831B437" w14:textId="77777777" w:rsidR="0079711F" w:rsidRPr="0076695D" w:rsidRDefault="0079711F" w:rsidP="0079711F">
      <w:pPr>
        <w:pStyle w:val="Body"/>
        <w:numPr>
          <w:ilvl w:val="1"/>
          <w:numId w:val="1"/>
        </w:numPr>
        <w:rPr>
          <w:rFonts w:ascii="Times New Roman" w:hAnsi="Times New Roman"/>
          <w:szCs w:val="24"/>
        </w:rPr>
      </w:pPr>
      <w:r w:rsidRPr="0076695D">
        <w:rPr>
          <w:rFonts w:ascii="Times New Roman" w:hAnsi="Times New Roman"/>
          <w:szCs w:val="24"/>
        </w:rPr>
        <w:t>All grades and teacher commentary will be clearly understood by the student and the parents/guardians, so teacher and student can develop plans toward meeting and/or exceeding student goals</w:t>
      </w:r>
    </w:p>
    <w:p w14:paraId="55DB833D" w14:textId="77777777" w:rsidR="0079711F" w:rsidRPr="0076695D" w:rsidRDefault="0079711F" w:rsidP="0079711F">
      <w:pPr>
        <w:pStyle w:val="Body"/>
        <w:numPr>
          <w:ilvl w:val="1"/>
          <w:numId w:val="1"/>
        </w:numPr>
        <w:rPr>
          <w:rFonts w:ascii="Times New Roman" w:hAnsi="Times New Roman"/>
          <w:szCs w:val="24"/>
        </w:rPr>
      </w:pPr>
      <w:r w:rsidRPr="0076695D">
        <w:rPr>
          <w:rFonts w:ascii="Times New Roman" w:hAnsi="Times New Roman"/>
          <w:szCs w:val="24"/>
        </w:rPr>
        <w:t>Exemplars of excellence will be reviewed by teachers with students so students can develop goals towards meeting that level of accomplishment</w:t>
      </w:r>
    </w:p>
    <w:p w14:paraId="61468C28" w14:textId="77777777" w:rsidR="0079711F" w:rsidRPr="003B0390" w:rsidRDefault="0079711F" w:rsidP="0079711F">
      <w:pPr>
        <w:pStyle w:val="Body"/>
        <w:numPr>
          <w:ilvl w:val="0"/>
          <w:numId w:val="1"/>
        </w:numPr>
        <w:rPr>
          <w:rFonts w:ascii="Times New Roman" w:hAnsi="Times New Roman"/>
          <w:b/>
          <w:szCs w:val="24"/>
        </w:rPr>
      </w:pPr>
      <w:r>
        <w:rPr>
          <w:rFonts w:ascii="Times New Roman" w:hAnsi="Times New Roman"/>
          <w:b/>
          <w:szCs w:val="24"/>
        </w:rPr>
        <w:t>Recording and R</w:t>
      </w:r>
      <w:r w:rsidRPr="003B0390">
        <w:rPr>
          <w:rFonts w:ascii="Times New Roman" w:hAnsi="Times New Roman"/>
          <w:b/>
          <w:szCs w:val="24"/>
        </w:rPr>
        <w:t>eporting</w:t>
      </w:r>
    </w:p>
    <w:p w14:paraId="28CBBAC7" w14:textId="77777777" w:rsidR="0079711F" w:rsidRPr="0076695D" w:rsidRDefault="0079711F" w:rsidP="0079711F">
      <w:pPr>
        <w:pStyle w:val="Body"/>
        <w:numPr>
          <w:ilvl w:val="1"/>
          <w:numId w:val="1"/>
        </w:numPr>
        <w:rPr>
          <w:rFonts w:ascii="Times New Roman" w:hAnsi="Times New Roman"/>
          <w:b/>
          <w:i/>
          <w:szCs w:val="24"/>
        </w:rPr>
      </w:pPr>
      <w:r w:rsidRPr="0076695D">
        <w:rPr>
          <w:rFonts w:ascii="Times New Roman" w:hAnsi="Times New Roman"/>
          <w:szCs w:val="24"/>
        </w:rPr>
        <w:t xml:space="preserve">A score of 65% indicates that a student has just met the </w:t>
      </w:r>
      <w:proofErr w:type="gramStart"/>
      <w:r w:rsidRPr="0076695D">
        <w:rPr>
          <w:rFonts w:ascii="Times New Roman" w:hAnsi="Times New Roman"/>
          <w:szCs w:val="24"/>
        </w:rPr>
        <w:t>standard,</w:t>
      </w:r>
      <w:proofErr w:type="gramEnd"/>
      <w:r w:rsidRPr="0076695D">
        <w:rPr>
          <w:rFonts w:ascii="Times New Roman" w:hAnsi="Times New Roman"/>
          <w:szCs w:val="24"/>
        </w:rPr>
        <w:t xml:space="preserve"> an 85% indicates that the student has achieved mastery of the material. Grades above 85% show a level of excellence </w:t>
      </w:r>
      <w:r>
        <w:rPr>
          <w:rFonts w:ascii="Times New Roman" w:hAnsi="Times New Roman"/>
          <w:szCs w:val="24"/>
        </w:rPr>
        <w:t>above mastery</w:t>
      </w:r>
      <w:r w:rsidRPr="0076695D">
        <w:rPr>
          <w:rFonts w:ascii="Times New Roman" w:hAnsi="Times New Roman"/>
          <w:szCs w:val="24"/>
        </w:rPr>
        <w:t>.</w:t>
      </w:r>
    </w:p>
    <w:p w14:paraId="2AC92CAD" w14:textId="2CE2B890" w:rsidR="0079711F" w:rsidRPr="0076695D" w:rsidRDefault="00B66008" w:rsidP="0079711F">
      <w:pPr>
        <w:pStyle w:val="Body"/>
        <w:numPr>
          <w:ilvl w:val="1"/>
          <w:numId w:val="1"/>
        </w:numPr>
        <w:rPr>
          <w:rFonts w:ascii="Times New Roman" w:hAnsi="Times New Roman"/>
          <w:szCs w:val="24"/>
        </w:rPr>
      </w:pPr>
      <w:r>
        <w:rPr>
          <w:rFonts w:ascii="Times New Roman" w:hAnsi="Times New Roman"/>
          <w:szCs w:val="24"/>
        </w:rPr>
        <w:t>T</w:t>
      </w:r>
      <w:r w:rsidR="0079711F" w:rsidRPr="0076695D">
        <w:rPr>
          <w:rFonts w:ascii="Times New Roman" w:hAnsi="Times New Roman"/>
          <w:szCs w:val="24"/>
        </w:rPr>
        <w:t>eachers will enter into the student management computer system report card grades four times a year (every nine weeks) as a measure of student progress</w:t>
      </w:r>
    </w:p>
    <w:p w14:paraId="02C3AE29" w14:textId="10CF4242" w:rsidR="0079711F" w:rsidRPr="0076695D" w:rsidRDefault="00B66008" w:rsidP="0079711F">
      <w:pPr>
        <w:pStyle w:val="Body"/>
        <w:numPr>
          <w:ilvl w:val="1"/>
          <w:numId w:val="1"/>
        </w:numPr>
        <w:rPr>
          <w:rFonts w:ascii="Times New Roman" w:hAnsi="Times New Roman"/>
          <w:szCs w:val="24"/>
        </w:rPr>
      </w:pPr>
      <w:r>
        <w:rPr>
          <w:rFonts w:ascii="Times New Roman" w:hAnsi="Times New Roman"/>
          <w:szCs w:val="24"/>
        </w:rPr>
        <w:t>I</w:t>
      </w:r>
      <w:r w:rsidR="0079711F" w:rsidRPr="0076695D">
        <w:rPr>
          <w:rFonts w:ascii="Times New Roman" w:hAnsi="Times New Roman"/>
          <w:szCs w:val="24"/>
        </w:rPr>
        <w:t>nterim grades will be entered at the half-way point of each 9 week grading period to allow parents and students to know to what level they have performed at that point and to approximate how the student will do for the quarter</w:t>
      </w:r>
    </w:p>
    <w:p w14:paraId="27FD0F0C" w14:textId="7A2D9E90" w:rsidR="0079711F" w:rsidRDefault="00B66008" w:rsidP="0079711F">
      <w:pPr>
        <w:pStyle w:val="Body"/>
        <w:numPr>
          <w:ilvl w:val="1"/>
          <w:numId w:val="1"/>
        </w:numPr>
        <w:rPr>
          <w:rFonts w:ascii="Times New Roman" w:hAnsi="Times New Roman"/>
          <w:szCs w:val="24"/>
        </w:rPr>
      </w:pPr>
      <w:r>
        <w:rPr>
          <w:rFonts w:ascii="Times New Roman" w:hAnsi="Times New Roman"/>
          <w:szCs w:val="24"/>
        </w:rPr>
        <w:t>T</w:t>
      </w:r>
      <w:r w:rsidR="0079711F" w:rsidRPr="0076695D">
        <w:rPr>
          <w:rFonts w:ascii="Times New Roman" w:hAnsi="Times New Roman"/>
          <w:szCs w:val="24"/>
        </w:rPr>
        <w:t>he final score for the end of the course will indicate how close a student came to meeting class goals</w:t>
      </w:r>
    </w:p>
    <w:p w14:paraId="32370306" w14:textId="13ACC7E5" w:rsidR="0079711F" w:rsidRDefault="0079711F" w:rsidP="0079711F">
      <w:pPr>
        <w:pStyle w:val="Body"/>
        <w:numPr>
          <w:ilvl w:val="2"/>
          <w:numId w:val="1"/>
        </w:numPr>
        <w:rPr>
          <w:rFonts w:ascii="Times New Roman" w:hAnsi="Times New Roman"/>
          <w:szCs w:val="24"/>
        </w:rPr>
      </w:pPr>
      <w:r>
        <w:rPr>
          <w:rFonts w:ascii="Times New Roman" w:hAnsi="Times New Roman"/>
          <w:szCs w:val="24"/>
        </w:rPr>
        <w:t xml:space="preserve">Final scores in AP and IB classes are not dependent on those assessments. Teachers will determine class grades based on class </w:t>
      </w:r>
      <w:proofErr w:type="gramStart"/>
      <w:r>
        <w:rPr>
          <w:rFonts w:ascii="Times New Roman" w:hAnsi="Times New Roman"/>
          <w:szCs w:val="24"/>
        </w:rPr>
        <w:t>work which</w:t>
      </w:r>
      <w:proofErr w:type="gramEnd"/>
      <w:r>
        <w:rPr>
          <w:rFonts w:ascii="Times New Roman" w:hAnsi="Times New Roman"/>
          <w:szCs w:val="24"/>
        </w:rPr>
        <w:t xml:space="preserve"> is to be a scaffold to the AP and IB assessments. A passing Kenmore East grade in an AP or IB class does not guarantee that a student will achieve a passing grade from these outside groups</w:t>
      </w:r>
      <w:r w:rsidR="00B66008">
        <w:rPr>
          <w:rFonts w:ascii="Times New Roman" w:hAnsi="Times New Roman"/>
          <w:szCs w:val="24"/>
        </w:rPr>
        <w:t xml:space="preserve"> (see IB Reporting below).</w:t>
      </w:r>
    </w:p>
    <w:p w14:paraId="037BC87D" w14:textId="77777777" w:rsidR="0088271E" w:rsidRDefault="0088271E" w:rsidP="0088271E">
      <w:pPr>
        <w:pStyle w:val="Body"/>
        <w:numPr>
          <w:ilvl w:val="0"/>
          <w:numId w:val="1"/>
        </w:numPr>
        <w:rPr>
          <w:rFonts w:ascii="Times New Roman" w:hAnsi="Times New Roman"/>
          <w:b/>
          <w:szCs w:val="24"/>
        </w:rPr>
      </w:pPr>
      <w:r>
        <w:rPr>
          <w:rFonts w:ascii="Times New Roman" w:hAnsi="Times New Roman"/>
          <w:b/>
          <w:szCs w:val="24"/>
        </w:rPr>
        <w:t>IB Reporting</w:t>
      </w:r>
    </w:p>
    <w:p w14:paraId="3EC70594" w14:textId="73B6CB53" w:rsidR="0088271E" w:rsidRPr="008579B3" w:rsidRDefault="0088271E" w:rsidP="0088271E">
      <w:pPr>
        <w:pStyle w:val="Body"/>
        <w:numPr>
          <w:ilvl w:val="1"/>
          <w:numId w:val="1"/>
        </w:numPr>
        <w:rPr>
          <w:rFonts w:ascii="Times New Roman" w:hAnsi="Times New Roman"/>
          <w:b/>
          <w:szCs w:val="24"/>
        </w:rPr>
      </w:pPr>
      <w:r>
        <w:rPr>
          <w:rFonts w:ascii="Times New Roman" w:hAnsi="Times New Roman"/>
          <w:szCs w:val="24"/>
        </w:rPr>
        <w:t xml:space="preserve">It </w:t>
      </w:r>
      <w:proofErr w:type="gramStart"/>
      <w:r>
        <w:rPr>
          <w:rFonts w:ascii="Times New Roman" w:hAnsi="Times New Roman"/>
          <w:szCs w:val="24"/>
        </w:rPr>
        <w:t>is understood</w:t>
      </w:r>
      <w:proofErr w:type="gramEnd"/>
      <w:r>
        <w:rPr>
          <w:rFonts w:ascii="Times New Roman" w:hAnsi="Times New Roman"/>
          <w:szCs w:val="24"/>
        </w:rPr>
        <w:t xml:space="preserve"> that teacher’s classroom grades may involve scores pertaining to student effort and work turned </w:t>
      </w:r>
      <w:r w:rsidR="000F70D2">
        <w:rPr>
          <w:rFonts w:ascii="Times New Roman" w:hAnsi="Times New Roman"/>
          <w:szCs w:val="24"/>
        </w:rPr>
        <w:t xml:space="preserve">in </w:t>
      </w:r>
      <w:r>
        <w:rPr>
          <w:rFonts w:ascii="Times New Roman" w:hAnsi="Times New Roman"/>
          <w:szCs w:val="24"/>
        </w:rPr>
        <w:t xml:space="preserve">and assessed, and not necessarily how close the student is toward achieving the IB criteria outlined in the course description. </w:t>
      </w:r>
    </w:p>
    <w:p w14:paraId="742DD202" w14:textId="77777777" w:rsidR="0088271E" w:rsidRPr="008579B3" w:rsidRDefault="0088271E" w:rsidP="0088271E">
      <w:pPr>
        <w:pStyle w:val="Body"/>
        <w:numPr>
          <w:ilvl w:val="1"/>
          <w:numId w:val="1"/>
        </w:numPr>
        <w:rPr>
          <w:rFonts w:ascii="Times New Roman" w:hAnsi="Times New Roman"/>
          <w:b/>
          <w:szCs w:val="24"/>
        </w:rPr>
      </w:pPr>
      <w:r>
        <w:rPr>
          <w:rFonts w:ascii="Times New Roman" w:hAnsi="Times New Roman"/>
          <w:szCs w:val="24"/>
        </w:rPr>
        <w:t xml:space="preserve">To provide students and parents with a more accurate estimation of a student’s eventual success in an IB course (a </w:t>
      </w:r>
      <w:r w:rsidR="00C5676A">
        <w:rPr>
          <w:rFonts w:ascii="Times New Roman" w:hAnsi="Times New Roman"/>
          <w:szCs w:val="24"/>
        </w:rPr>
        <w:t>‘</w:t>
      </w:r>
      <w:r>
        <w:rPr>
          <w:rFonts w:ascii="Times New Roman" w:hAnsi="Times New Roman"/>
          <w:szCs w:val="24"/>
        </w:rPr>
        <w:t>predicted predicted-grade</w:t>
      </w:r>
      <w:r w:rsidR="00C5676A">
        <w:rPr>
          <w:rFonts w:ascii="Times New Roman" w:hAnsi="Times New Roman"/>
          <w:szCs w:val="24"/>
        </w:rPr>
        <w:t>’</w:t>
      </w:r>
      <w:r>
        <w:rPr>
          <w:rFonts w:ascii="Times New Roman" w:hAnsi="Times New Roman"/>
          <w:szCs w:val="24"/>
        </w:rPr>
        <w:t xml:space="preserve">), Kenmore East will send home an IB Progress Report twice during the program, once at the end of the junior year, and again </w:t>
      </w:r>
      <w:proofErr w:type="gramStart"/>
      <w:r>
        <w:rPr>
          <w:rFonts w:ascii="Times New Roman" w:hAnsi="Times New Roman"/>
          <w:szCs w:val="24"/>
        </w:rPr>
        <w:t>half-way</w:t>
      </w:r>
      <w:proofErr w:type="gramEnd"/>
      <w:r>
        <w:rPr>
          <w:rFonts w:ascii="Times New Roman" w:hAnsi="Times New Roman"/>
          <w:szCs w:val="24"/>
        </w:rPr>
        <w:t xml:space="preserve"> through the senior year.</w:t>
      </w:r>
    </w:p>
    <w:p w14:paraId="1CDE8F5D" w14:textId="77777777" w:rsidR="0088271E" w:rsidRPr="00831EEA" w:rsidRDefault="0088271E" w:rsidP="00831EEA">
      <w:pPr>
        <w:pStyle w:val="Body"/>
        <w:numPr>
          <w:ilvl w:val="1"/>
          <w:numId w:val="1"/>
        </w:numPr>
        <w:rPr>
          <w:rFonts w:ascii="Times New Roman" w:hAnsi="Times New Roman"/>
          <w:b/>
          <w:szCs w:val="24"/>
        </w:rPr>
      </w:pPr>
      <w:r>
        <w:rPr>
          <w:rFonts w:ascii="Times New Roman" w:hAnsi="Times New Roman"/>
          <w:szCs w:val="24"/>
        </w:rPr>
        <w:t xml:space="preserve">It </w:t>
      </w:r>
      <w:proofErr w:type="gramStart"/>
      <w:r>
        <w:rPr>
          <w:rFonts w:ascii="Times New Roman" w:hAnsi="Times New Roman"/>
          <w:szCs w:val="24"/>
        </w:rPr>
        <w:t>is expected</w:t>
      </w:r>
      <w:proofErr w:type="gramEnd"/>
      <w:r>
        <w:rPr>
          <w:rFonts w:ascii="Times New Roman" w:hAnsi="Times New Roman"/>
          <w:szCs w:val="24"/>
        </w:rPr>
        <w:t xml:space="preserve"> that the student will be involved in the creation of this report and it will be used as an opportunity for reflection and self-evaluation.</w:t>
      </w:r>
    </w:p>
    <w:p w14:paraId="212EA759" w14:textId="77777777" w:rsidR="0079711F" w:rsidRPr="003B0390" w:rsidRDefault="0079711F" w:rsidP="0079711F">
      <w:pPr>
        <w:pStyle w:val="Body"/>
        <w:numPr>
          <w:ilvl w:val="0"/>
          <w:numId w:val="1"/>
        </w:numPr>
        <w:rPr>
          <w:rFonts w:ascii="Times New Roman" w:hAnsi="Times New Roman"/>
          <w:b/>
          <w:szCs w:val="24"/>
        </w:rPr>
      </w:pPr>
      <w:r>
        <w:rPr>
          <w:rFonts w:ascii="Times New Roman" w:hAnsi="Times New Roman"/>
          <w:b/>
          <w:szCs w:val="24"/>
        </w:rPr>
        <w:t>H</w:t>
      </w:r>
      <w:r w:rsidRPr="003B0390">
        <w:rPr>
          <w:rFonts w:ascii="Times New Roman" w:hAnsi="Times New Roman"/>
          <w:b/>
          <w:szCs w:val="24"/>
        </w:rPr>
        <w:t>omework</w:t>
      </w:r>
    </w:p>
    <w:p w14:paraId="15D6BC87" w14:textId="77777777" w:rsidR="0079711F" w:rsidRPr="0076695D" w:rsidRDefault="0079711F" w:rsidP="0079711F">
      <w:pPr>
        <w:pStyle w:val="Body"/>
        <w:numPr>
          <w:ilvl w:val="1"/>
          <w:numId w:val="1"/>
        </w:numPr>
        <w:rPr>
          <w:rFonts w:ascii="Times New Roman" w:hAnsi="Times New Roman"/>
          <w:szCs w:val="24"/>
        </w:rPr>
      </w:pPr>
      <w:r w:rsidRPr="0076695D">
        <w:rPr>
          <w:rFonts w:ascii="Times New Roman" w:hAnsi="Times New Roman"/>
          <w:szCs w:val="24"/>
        </w:rPr>
        <w:t>Purpose of homework need</w:t>
      </w:r>
      <w:r w:rsidR="00494225">
        <w:rPr>
          <w:rFonts w:ascii="Times New Roman" w:hAnsi="Times New Roman"/>
          <w:szCs w:val="24"/>
        </w:rPr>
        <w:t>s</w:t>
      </w:r>
      <w:r w:rsidRPr="0076695D">
        <w:rPr>
          <w:rFonts w:ascii="Times New Roman" w:hAnsi="Times New Roman"/>
          <w:szCs w:val="24"/>
        </w:rPr>
        <w:t xml:space="preserve"> to be made clear -- independent practice, ‘front-loading’ or preparing before a class lecture, further reading to expand on classroom instruction, formative assessment of concepts learned in class, etc.</w:t>
      </w:r>
    </w:p>
    <w:p w14:paraId="6A0B4D8C" w14:textId="77777777" w:rsidR="0079711F" w:rsidRPr="0076695D" w:rsidRDefault="0079711F" w:rsidP="0079711F">
      <w:pPr>
        <w:pStyle w:val="Body"/>
        <w:numPr>
          <w:ilvl w:val="1"/>
          <w:numId w:val="1"/>
        </w:numPr>
        <w:rPr>
          <w:rFonts w:ascii="Times New Roman" w:hAnsi="Times New Roman"/>
          <w:szCs w:val="24"/>
        </w:rPr>
      </w:pPr>
      <w:r w:rsidRPr="0076695D">
        <w:rPr>
          <w:rFonts w:ascii="Times New Roman" w:hAnsi="Times New Roman"/>
          <w:szCs w:val="24"/>
        </w:rPr>
        <w:t>Summative assessment of material not practiced in class is not appropriate for homework</w:t>
      </w:r>
    </w:p>
    <w:p w14:paraId="4EAAF124" w14:textId="77777777" w:rsidR="0079711F" w:rsidRPr="0076695D" w:rsidRDefault="0079711F" w:rsidP="0079711F">
      <w:pPr>
        <w:pStyle w:val="Body"/>
        <w:numPr>
          <w:ilvl w:val="1"/>
          <w:numId w:val="1"/>
        </w:numPr>
        <w:rPr>
          <w:rFonts w:ascii="Times New Roman" w:hAnsi="Times New Roman"/>
          <w:szCs w:val="24"/>
        </w:rPr>
      </w:pPr>
      <w:r w:rsidRPr="0076695D">
        <w:rPr>
          <w:rFonts w:ascii="Times New Roman" w:hAnsi="Times New Roman"/>
          <w:szCs w:val="24"/>
        </w:rPr>
        <w:t xml:space="preserve">Whether a homework assignment will be used </w:t>
      </w:r>
      <w:proofErr w:type="spellStart"/>
      <w:r w:rsidRPr="0076695D">
        <w:rPr>
          <w:rFonts w:ascii="Times New Roman" w:hAnsi="Times New Roman"/>
          <w:szCs w:val="24"/>
        </w:rPr>
        <w:t>summatively</w:t>
      </w:r>
      <w:proofErr w:type="spellEnd"/>
      <w:r w:rsidRPr="0076695D">
        <w:rPr>
          <w:rFonts w:ascii="Times New Roman" w:hAnsi="Times New Roman"/>
          <w:szCs w:val="24"/>
        </w:rPr>
        <w:t xml:space="preserve"> as a grade assessing whether a student has mastered a concept, or formatively as practice or as an exploration of a concept needs to be made clear to the students when assigned</w:t>
      </w:r>
    </w:p>
    <w:p w14:paraId="0EF1C088" w14:textId="77777777" w:rsidR="0079711F" w:rsidRPr="000B6687" w:rsidRDefault="0079711F" w:rsidP="0079711F">
      <w:pPr>
        <w:pStyle w:val="Body"/>
        <w:numPr>
          <w:ilvl w:val="0"/>
          <w:numId w:val="1"/>
        </w:numPr>
        <w:rPr>
          <w:rFonts w:ascii="Times New Roman" w:hAnsi="Times New Roman"/>
          <w:b/>
          <w:szCs w:val="24"/>
        </w:rPr>
      </w:pPr>
      <w:r w:rsidRPr="000B6687">
        <w:rPr>
          <w:rFonts w:ascii="Times New Roman" w:hAnsi="Times New Roman"/>
          <w:b/>
          <w:szCs w:val="24"/>
        </w:rPr>
        <w:t xml:space="preserve">Links between the assessment policy and other documents (ex. language and admissions policy) </w:t>
      </w:r>
    </w:p>
    <w:p w14:paraId="6B73DBB3" w14:textId="77777777" w:rsidR="0079711F" w:rsidRPr="0076695D" w:rsidRDefault="0079711F" w:rsidP="0079711F">
      <w:pPr>
        <w:pStyle w:val="Body"/>
        <w:numPr>
          <w:ilvl w:val="1"/>
          <w:numId w:val="1"/>
        </w:numPr>
        <w:rPr>
          <w:rFonts w:ascii="Times New Roman" w:hAnsi="Times New Roman"/>
          <w:szCs w:val="24"/>
        </w:rPr>
      </w:pPr>
      <w:r w:rsidRPr="0076695D">
        <w:rPr>
          <w:rFonts w:ascii="Times New Roman" w:hAnsi="Times New Roman"/>
          <w:szCs w:val="24"/>
        </w:rPr>
        <w:t xml:space="preserve">Common summative assessment -- New York State Regents exams -- </w:t>
      </w:r>
      <w:proofErr w:type="gramStart"/>
      <w:r w:rsidRPr="0076695D">
        <w:rPr>
          <w:rFonts w:ascii="Times New Roman" w:hAnsi="Times New Roman"/>
          <w:szCs w:val="24"/>
        </w:rPr>
        <w:t>will be used</w:t>
      </w:r>
      <w:proofErr w:type="gramEnd"/>
      <w:r w:rsidRPr="0076695D">
        <w:rPr>
          <w:rFonts w:ascii="Times New Roman" w:hAnsi="Times New Roman"/>
          <w:szCs w:val="24"/>
        </w:rPr>
        <w:t xml:space="preserve"> to see if student has met state graduation requirements. It is also a requirement that IB diploma candidates pass these requirements to remain in the program.</w:t>
      </w:r>
    </w:p>
    <w:p w14:paraId="56C04801" w14:textId="3B8BDDED" w:rsidR="0079711F" w:rsidRDefault="00494225" w:rsidP="0079711F">
      <w:pPr>
        <w:pStyle w:val="Body"/>
        <w:numPr>
          <w:ilvl w:val="1"/>
          <w:numId w:val="1"/>
        </w:numPr>
        <w:rPr>
          <w:rFonts w:ascii="Times New Roman" w:hAnsi="Times New Roman"/>
          <w:szCs w:val="24"/>
        </w:rPr>
      </w:pPr>
      <w:r>
        <w:rPr>
          <w:rFonts w:ascii="Times New Roman" w:hAnsi="Times New Roman"/>
          <w:szCs w:val="24"/>
        </w:rPr>
        <w:t xml:space="preserve">All </w:t>
      </w:r>
      <w:r w:rsidR="0079711F" w:rsidRPr="0076695D">
        <w:rPr>
          <w:rFonts w:ascii="Times New Roman" w:hAnsi="Times New Roman"/>
          <w:szCs w:val="24"/>
        </w:rPr>
        <w:t xml:space="preserve">IB DP candidates </w:t>
      </w:r>
      <w:r>
        <w:rPr>
          <w:rFonts w:ascii="Times New Roman" w:hAnsi="Times New Roman"/>
          <w:szCs w:val="24"/>
        </w:rPr>
        <w:t xml:space="preserve">must still pass the </w:t>
      </w:r>
      <w:proofErr w:type="gramStart"/>
      <w:r w:rsidR="00A052B4">
        <w:rPr>
          <w:rFonts w:ascii="Times New Roman" w:hAnsi="Times New Roman"/>
          <w:szCs w:val="24"/>
        </w:rPr>
        <w:t>4</w:t>
      </w:r>
      <w:proofErr w:type="gramEnd"/>
      <w:r w:rsidR="00A052B4">
        <w:rPr>
          <w:rFonts w:ascii="Times New Roman" w:hAnsi="Times New Roman"/>
          <w:szCs w:val="24"/>
        </w:rPr>
        <w:t xml:space="preserve"> </w:t>
      </w:r>
      <w:r w:rsidR="0079711F" w:rsidRPr="0076695D">
        <w:rPr>
          <w:rFonts w:ascii="Times New Roman" w:hAnsi="Times New Roman"/>
          <w:szCs w:val="24"/>
        </w:rPr>
        <w:t xml:space="preserve">NYS </w:t>
      </w:r>
      <w:r w:rsidR="00A052B4">
        <w:rPr>
          <w:rFonts w:ascii="Times New Roman" w:hAnsi="Times New Roman"/>
          <w:szCs w:val="24"/>
        </w:rPr>
        <w:t>R</w:t>
      </w:r>
      <w:r w:rsidR="0079711F" w:rsidRPr="0076695D">
        <w:rPr>
          <w:rFonts w:ascii="Times New Roman" w:hAnsi="Times New Roman"/>
          <w:szCs w:val="24"/>
        </w:rPr>
        <w:t xml:space="preserve">egents </w:t>
      </w:r>
      <w:r w:rsidR="00A052B4">
        <w:rPr>
          <w:rFonts w:ascii="Times New Roman" w:hAnsi="Times New Roman"/>
          <w:szCs w:val="24"/>
        </w:rPr>
        <w:t>E</w:t>
      </w:r>
      <w:r w:rsidR="0079711F" w:rsidRPr="0076695D">
        <w:rPr>
          <w:rFonts w:ascii="Times New Roman" w:hAnsi="Times New Roman"/>
          <w:szCs w:val="24"/>
        </w:rPr>
        <w:t>xam</w:t>
      </w:r>
      <w:r w:rsidR="00A052B4">
        <w:rPr>
          <w:rFonts w:ascii="Times New Roman" w:hAnsi="Times New Roman"/>
          <w:szCs w:val="24"/>
        </w:rPr>
        <w:t>s</w:t>
      </w:r>
      <w:r w:rsidR="0079711F" w:rsidRPr="0076695D">
        <w:rPr>
          <w:rFonts w:ascii="Times New Roman" w:hAnsi="Times New Roman"/>
          <w:szCs w:val="24"/>
        </w:rPr>
        <w:t xml:space="preserve"> </w:t>
      </w:r>
      <w:r w:rsidR="00A052B4">
        <w:rPr>
          <w:rFonts w:ascii="Times New Roman" w:hAnsi="Times New Roman"/>
          <w:szCs w:val="24"/>
        </w:rPr>
        <w:t>(8 for the Regents Diploma with Advanced Designation) to satisfy NYS requirements.</w:t>
      </w:r>
      <w:r w:rsidR="0079711F" w:rsidRPr="0076695D">
        <w:rPr>
          <w:rFonts w:ascii="Times New Roman" w:hAnsi="Times New Roman"/>
          <w:szCs w:val="24"/>
        </w:rPr>
        <w:t xml:space="preserve"> </w:t>
      </w:r>
      <w:r w:rsidR="00A052B4">
        <w:rPr>
          <w:rFonts w:ascii="Times New Roman" w:hAnsi="Times New Roman"/>
          <w:szCs w:val="24"/>
        </w:rPr>
        <w:t xml:space="preserve">In most cases, these exams </w:t>
      </w:r>
      <w:proofErr w:type="gramStart"/>
      <w:r w:rsidR="00A052B4">
        <w:rPr>
          <w:rFonts w:ascii="Times New Roman" w:hAnsi="Times New Roman"/>
          <w:szCs w:val="24"/>
        </w:rPr>
        <w:t>will be completed</w:t>
      </w:r>
      <w:proofErr w:type="gramEnd"/>
      <w:r w:rsidR="00A052B4">
        <w:rPr>
          <w:rFonts w:ascii="Times New Roman" w:hAnsi="Times New Roman"/>
          <w:szCs w:val="24"/>
        </w:rPr>
        <w:t xml:space="preserve"> before the Diploma Program begins – most students will only have to take the English Regents and the US History Regents in their junior year. </w:t>
      </w:r>
      <w:r w:rsidR="0079711F" w:rsidRPr="0076695D">
        <w:rPr>
          <w:rFonts w:ascii="Times New Roman" w:hAnsi="Times New Roman"/>
          <w:szCs w:val="24"/>
        </w:rPr>
        <w:t>If their score is less than mastery (85%), they will be required to take the exam again, but may remain in the diploma program.</w:t>
      </w:r>
    </w:p>
    <w:p w14:paraId="29973072" w14:textId="77777777" w:rsidR="00A052B4" w:rsidRDefault="00A052B4" w:rsidP="00831EEA">
      <w:pPr>
        <w:pStyle w:val="Body"/>
        <w:ind w:left="1440"/>
        <w:rPr>
          <w:rFonts w:ascii="Times New Roman" w:hAnsi="Times New Roman"/>
          <w:szCs w:val="24"/>
        </w:rPr>
      </w:pPr>
    </w:p>
    <w:p w14:paraId="282A5657" w14:textId="77777777" w:rsidR="00A052B4" w:rsidRDefault="0079711F" w:rsidP="00831EEA">
      <w:pPr>
        <w:pStyle w:val="Body"/>
        <w:numPr>
          <w:ilvl w:val="0"/>
          <w:numId w:val="1"/>
        </w:numPr>
        <w:rPr>
          <w:rFonts w:ascii="Times New Roman" w:hAnsi="Times New Roman"/>
          <w:b/>
          <w:szCs w:val="24"/>
        </w:rPr>
      </w:pPr>
      <w:r w:rsidRPr="00A052B4">
        <w:rPr>
          <w:rFonts w:ascii="Times New Roman" w:hAnsi="Times New Roman"/>
          <w:b/>
          <w:szCs w:val="24"/>
        </w:rPr>
        <w:t xml:space="preserve">Roles and responsibilities </w:t>
      </w:r>
    </w:p>
    <w:p w14:paraId="3B301AEC" w14:textId="77777777" w:rsidR="0079711F" w:rsidRPr="00A052B4" w:rsidRDefault="0079711F">
      <w:pPr>
        <w:pStyle w:val="Body"/>
        <w:numPr>
          <w:ilvl w:val="1"/>
          <w:numId w:val="2"/>
        </w:numPr>
        <w:ind w:left="1440"/>
        <w:rPr>
          <w:rFonts w:ascii="Times New Roman" w:hAnsi="Times New Roman"/>
          <w:szCs w:val="24"/>
        </w:rPr>
      </w:pPr>
      <w:r w:rsidRPr="00A052B4">
        <w:rPr>
          <w:rFonts w:ascii="Times New Roman" w:hAnsi="Times New Roman"/>
          <w:szCs w:val="24"/>
        </w:rPr>
        <w:t>Administration (or designee, likely department chairs)</w:t>
      </w:r>
    </w:p>
    <w:p w14:paraId="3F8597E4"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ensure all teachers receive this assessment policy and understand it</w:t>
      </w:r>
    </w:p>
    <w:p w14:paraId="0320DC99"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be sure that when new teachers come to Kenmore East, they receive the policy and understands how it is to be implemented in their class</w:t>
      </w:r>
    </w:p>
    <w:p w14:paraId="1EBB9A19"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reviews this policy with the building leadership team annually and sees that it is revised as needed</w:t>
      </w:r>
    </w:p>
    <w:p w14:paraId="1E1373A0"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ensure that teachers have and use time to collaborate on the creation of assessments and the results of these assessments</w:t>
      </w:r>
    </w:p>
    <w:p w14:paraId="6B4770A1" w14:textId="77777777" w:rsidR="0079711F" w:rsidRPr="0076695D" w:rsidRDefault="0079711F" w:rsidP="0079711F">
      <w:pPr>
        <w:pStyle w:val="Body"/>
        <w:numPr>
          <w:ilvl w:val="1"/>
          <w:numId w:val="2"/>
        </w:numPr>
        <w:ind w:left="1440"/>
        <w:rPr>
          <w:rFonts w:ascii="Times New Roman" w:hAnsi="Times New Roman"/>
          <w:szCs w:val="24"/>
        </w:rPr>
      </w:pPr>
      <w:r w:rsidRPr="0076695D">
        <w:rPr>
          <w:rFonts w:ascii="Times New Roman" w:hAnsi="Times New Roman"/>
          <w:szCs w:val="24"/>
        </w:rPr>
        <w:t>Teachers</w:t>
      </w:r>
    </w:p>
    <w:p w14:paraId="2EB8B079"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Read and understand the policy</w:t>
      </w:r>
    </w:p>
    <w:p w14:paraId="7E56DFA7"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Ensure that their students also understand the policy</w:t>
      </w:r>
    </w:p>
    <w:p w14:paraId="65CF17BB"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Develop classroom scoring and grade reporting procedures comply with the policy and are able to explain this to students, parents and administrators</w:t>
      </w:r>
    </w:p>
    <w:p w14:paraId="54CE49C2" w14:textId="7FAAC595" w:rsidR="0079711F"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Collaborate with peers to create formative assessments, analyze their results, and using the results to improve student learning</w:t>
      </w:r>
    </w:p>
    <w:p w14:paraId="556AD645" w14:textId="26FC424D" w:rsidR="00A00B10" w:rsidRDefault="00A00B10" w:rsidP="0079711F">
      <w:pPr>
        <w:pStyle w:val="Body"/>
        <w:numPr>
          <w:ilvl w:val="1"/>
          <w:numId w:val="3"/>
        </w:numPr>
        <w:ind w:left="1890"/>
        <w:rPr>
          <w:rFonts w:ascii="Times New Roman" w:hAnsi="Times New Roman"/>
          <w:szCs w:val="24"/>
        </w:rPr>
      </w:pPr>
      <w:r>
        <w:rPr>
          <w:rFonts w:ascii="Times New Roman" w:hAnsi="Times New Roman"/>
          <w:szCs w:val="24"/>
        </w:rPr>
        <w:t xml:space="preserve">Where two teachers are teaching the same course, teachers will meet to standardize scoring to DP criteria or to a particular benchmark of </w:t>
      </w:r>
      <w:proofErr w:type="gramStart"/>
      <w:r>
        <w:rPr>
          <w:rFonts w:ascii="Times New Roman" w:hAnsi="Times New Roman"/>
          <w:szCs w:val="24"/>
        </w:rPr>
        <w:t>that criteria</w:t>
      </w:r>
      <w:proofErr w:type="gramEnd"/>
      <w:r>
        <w:rPr>
          <w:rFonts w:ascii="Times New Roman" w:hAnsi="Times New Roman"/>
          <w:szCs w:val="24"/>
        </w:rPr>
        <w:t>.</w:t>
      </w:r>
    </w:p>
    <w:p w14:paraId="368839EC" w14:textId="25B28EC2" w:rsidR="00831EEA" w:rsidRDefault="00A00B10" w:rsidP="00A00B10">
      <w:pPr>
        <w:pStyle w:val="Body"/>
        <w:numPr>
          <w:ilvl w:val="1"/>
          <w:numId w:val="3"/>
        </w:numPr>
        <w:rPr>
          <w:rFonts w:ascii="Times New Roman" w:hAnsi="Times New Roman"/>
          <w:szCs w:val="24"/>
        </w:rPr>
      </w:pPr>
      <w:r>
        <w:rPr>
          <w:rFonts w:ascii="Times New Roman" w:hAnsi="Times New Roman"/>
          <w:szCs w:val="24"/>
        </w:rPr>
        <w:t xml:space="preserve">When two teachers score an IA or other </w:t>
      </w:r>
      <w:proofErr w:type="spellStart"/>
      <w:r>
        <w:rPr>
          <w:rFonts w:ascii="Times New Roman" w:hAnsi="Times New Roman"/>
          <w:szCs w:val="24"/>
        </w:rPr>
        <w:t>summativae</w:t>
      </w:r>
      <w:proofErr w:type="spellEnd"/>
      <w:r>
        <w:rPr>
          <w:rFonts w:ascii="Times New Roman" w:hAnsi="Times New Roman"/>
          <w:szCs w:val="24"/>
        </w:rPr>
        <w:t xml:space="preserve"> assessment, they will score papers together until they are confident they are scoring to the same standard. In the event of disagreements, the DP Coordinator </w:t>
      </w:r>
      <w:proofErr w:type="gramStart"/>
      <w:r>
        <w:rPr>
          <w:rFonts w:ascii="Times New Roman" w:hAnsi="Times New Roman"/>
          <w:szCs w:val="24"/>
        </w:rPr>
        <w:t>may be called in</w:t>
      </w:r>
      <w:proofErr w:type="gramEnd"/>
      <w:r>
        <w:rPr>
          <w:rFonts w:ascii="Times New Roman" w:hAnsi="Times New Roman"/>
          <w:szCs w:val="24"/>
        </w:rPr>
        <w:t xml:space="preserve"> to help teachers reach consensus.</w:t>
      </w:r>
    </w:p>
    <w:p w14:paraId="4E1B6D7C" w14:textId="77777777" w:rsidR="00831EEA" w:rsidRDefault="00831EEA">
      <w:pPr>
        <w:rPr>
          <w:rFonts w:ascii="Times New Roman" w:eastAsia="ヒラギノ角ゴ Pro W3" w:hAnsi="Times New Roman" w:cs="Times New Roman"/>
          <w:color w:val="000000"/>
          <w:sz w:val="24"/>
          <w:szCs w:val="24"/>
        </w:rPr>
      </w:pPr>
      <w:r>
        <w:rPr>
          <w:rFonts w:ascii="Times New Roman" w:hAnsi="Times New Roman"/>
          <w:szCs w:val="24"/>
        </w:rPr>
        <w:br w:type="page"/>
      </w:r>
    </w:p>
    <w:p w14:paraId="112DF415" w14:textId="38F19217" w:rsidR="00831EEA" w:rsidRDefault="00831EEA" w:rsidP="00831EEA">
      <w:pPr>
        <w:pStyle w:val="Body"/>
        <w:numPr>
          <w:ilvl w:val="0"/>
          <w:numId w:val="4"/>
        </w:numPr>
        <w:rPr>
          <w:rFonts w:ascii="Times New Roman" w:hAnsi="Times New Roman"/>
          <w:b/>
          <w:szCs w:val="24"/>
        </w:rPr>
      </w:pPr>
      <w:r w:rsidRPr="00A052B4">
        <w:rPr>
          <w:rFonts w:ascii="Times New Roman" w:hAnsi="Times New Roman"/>
          <w:b/>
          <w:szCs w:val="24"/>
        </w:rPr>
        <w:t xml:space="preserve">Roles and responsibilities </w:t>
      </w:r>
      <w:r>
        <w:rPr>
          <w:rFonts w:ascii="Times New Roman" w:hAnsi="Times New Roman"/>
          <w:b/>
          <w:szCs w:val="24"/>
        </w:rPr>
        <w:t>(continued)</w:t>
      </w:r>
    </w:p>
    <w:p w14:paraId="3A9FF624" w14:textId="77777777" w:rsidR="00A00B10" w:rsidRPr="0076695D" w:rsidRDefault="00A00B10" w:rsidP="00831EEA">
      <w:pPr>
        <w:pStyle w:val="Body"/>
        <w:ind w:left="2880"/>
        <w:rPr>
          <w:rFonts w:ascii="Times New Roman" w:hAnsi="Times New Roman"/>
          <w:szCs w:val="24"/>
        </w:rPr>
      </w:pPr>
    </w:p>
    <w:p w14:paraId="08F075BD" w14:textId="77777777" w:rsidR="0079711F" w:rsidRPr="0076695D" w:rsidRDefault="0079711F" w:rsidP="0079711F">
      <w:pPr>
        <w:pStyle w:val="Body"/>
        <w:numPr>
          <w:ilvl w:val="1"/>
          <w:numId w:val="2"/>
        </w:numPr>
        <w:ind w:left="1440"/>
        <w:rPr>
          <w:rFonts w:ascii="Times New Roman" w:hAnsi="Times New Roman"/>
          <w:szCs w:val="24"/>
        </w:rPr>
      </w:pPr>
      <w:r w:rsidRPr="0076695D">
        <w:rPr>
          <w:rFonts w:ascii="Times New Roman" w:hAnsi="Times New Roman"/>
          <w:szCs w:val="24"/>
        </w:rPr>
        <w:t>IB Coordinator</w:t>
      </w:r>
    </w:p>
    <w:p w14:paraId="0BE19A79"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Ensure that teachers and administrators understand this policy and how it fits with IB assessment philosophy and procedures</w:t>
      </w:r>
    </w:p>
    <w:p w14:paraId="68EFBA05"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Ensure all IB teachers completely understand the program’s internal and external assessment procedures and goals</w:t>
      </w:r>
    </w:p>
    <w:p w14:paraId="4FC03625" w14:textId="77777777" w:rsidR="0079711F" w:rsidRPr="0076695D"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Ensure IB teachers have time to collaborate together</w:t>
      </w:r>
    </w:p>
    <w:p w14:paraId="1BEA0B9A" w14:textId="07637C87" w:rsidR="004C7A13" w:rsidRDefault="0079711F" w:rsidP="0079711F">
      <w:pPr>
        <w:pStyle w:val="Body"/>
        <w:numPr>
          <w:ilvl w:val="1"/>
          <w:numId w:val="3"/>
        </w:numPr>
        <w:ind w:left="1890"/>
        <w:rPr>
          <w:rFonts w:ascii="Times New Roman" w:hAnsi="Times New Roman"/>
          <w:szCs w:val="24"/>
        </w:rPr>
      </w:pPr>
      <w:r w:rsidRPr="0076695D">
        <w:rPr>
          <w:rFonts w:ascii="Times New Roman" w:hAnsi="Times New Roman"/>
          <w:szCs w:val="24"/>
        </w:rPr>
        <w:t xml:space="preserve">Facilitate the creation of an IB assessment calendar -- including internal and external assessment as well as class projects and homework assignments. This calendar strives to maximize student achievement by carefully spreading the work they need to accomplish so they may create a realistic and manageable timetable for themselves </w:t>
      </w:r>
    </w:p>
    <w:p w14:paraId="49D83B30" w14:textId="77777777" w:rsidR="0079711F" w:rsidRPr="00FD1885" w:rsidRDefault="0079711F" w:rsidP="00831EEA">
      <w:pPr>
        <w:pStyle w:val="Body"/>
        <w:ind w:left="1890"/>
        <w:rPr>
          <w:rFonts w:ascii="Times New Roman" w:eastAsiaTheme="minorEastAsia" w:hAnsi="Times New Roman"/>
          <w:szCs w:val="24"/>
          <w:lang w:eastAsia="ja-JP"/>
        </w:rPr>
      </w:pPr>
    </w:p>
    <w:p w14:paraId="44347AD1" w14:textId="77777777" w:rsidR="0042575A" w:rsidRPr="0042575A" w:rsidRDefault="0042575A" w:rsidP="00831EEA">
      <w:pPr>
        <w:pStyle w:val="Body"/>
        <w:numPr>
          <w:ilvl w:val="0"/>
          <w:numId w:val="4"/>
        </w:numPr>
        <w:rPr>
          <w:rFonts w:ascii="Times New Roman" w:hAnsi="Times New Roman"/>
          <w:b/>
          <w:szCs w:val="24"/>
        </w:rPr>
      </w:pPr>
      <w:r w:rsidRPr="0042575A">
        <w:rPr>
          <w:rFonts w:ascii="Times New Roman" w:hAnsi="Times New Roman"/>
          <w:b/>
          <w:szCs w:val="24"/>
        </w:rPr>
        <w:t>Policy Review</w:t>
      </w:r>
    </w:p>
    <w:p w14:paraId="2C586EC8" w14:textId="172039E3" w:rsidR="0042575A" w:rsidRPr="00831EEA" w:rsidRDefault="0042575A" w:rsidP="00831EEA">
      <w:pPr>
        <w:pStyle w:val="Body"/>
        <w:numPr>
          <w:ilvl w:val="1"/>
          <w:numId w:val="2"/>
        </w:numPr>
        <w:ind w:left="1440"/>
        <w:rPr>
          <w:rFonts w:ascii="Times New Roman" w:hAnsi="Times New Roman"/>
          <w:szCs w:val="24"/>
        </w:rPr>
      </w:pPr>
      <w:r w:rsidRPr="00831EEA">
        <w:rPr>
          <w:rFonts w:ascii="Times New Roman" w:hAnsi="Times New Roman"/>
          <w:szCs w:val="24"/>
        </w:rPr>
        <w:t>This policy will be reviewed and revised as needed every three years according to the KE IB Policy review schedule:</w:t>
      </w:r>
    </w:p>
    <w:p w14:paraId="579EB3BD" w14:textId="77777777" w:rsidR="0042575A" w:rsidRPr="00831EEA" w:rsidRDefault="0042575A" w:rsidP="00831EEA">
      <w:pPr>
        <w:pStyle w:val="Body"/>
        <w:ind w:left="360"/>
        <w:rPr>
          <w:rFonts w:ascii="Times New Roman" w:hAnsi="Times New Roman"/>
          <w:szCs w:val="24"/>
        </w:rPr>
      </w:pPr>
      <w:r w:rsidRPr="00831EEA">
        <w:rPr>
          <w:rFonts w:ascii="Times New Roman" w:hAnsi="Times New Roman"/>
          <w:szCs w:val="24"/>
        </w:rPr>
        <w:tab/>
      </w:r>
      <w:r w:rsidRPr="00831EEA">
        <w:rPr>
          <w:rFonts w:ascii="Times New Roman" w:hAnsi="Times New Roman"/>
          <w:szCs w:val="24"/>
        </w:rPr>
        <w:tab/>
      </w:r>
      <w:r w:rsidRPr="00831EEA">
        <w:rPr>
          <w:rFonts w:ascii="Times New Roman" w:hAnsi="Times New Roman"/>
          <w:szCs w:val="24"/>
        </w:rPr>
        <w:tab/>
        <w:t>Year 1: Admission/ Inclusion and Special Ed Policies</w:t>
      </w:r>
    </w:p>
    <w:p w14:paraId="7E6245A1" w14:textId="77777777" w:rsidR="0042575A" w:rsidRPr="00831EEA" w:rsidRDefault="0042575A" w:rsidP="00831EEA">
      <w:pPr>
        <w:pStyle w:val="Body"/>
        <w:ind w:left="360"/>
        <w:rPr>
          <w:rFonts w:ascii="Times New Roman" w:hAnsi="Times New Roman"/>
          <w:szCs w:val="24"/>
        </w:rPr>
      </w:pPr>
      <w:r w:rsidRPr="00831EEA">
        <w:rPr>
          <w:rFonts w:ascii="Times New Roman" w:hAnsi="Times New Roman"/>
          <w:szCs w:val="24"/>
        </w:rPr>
        <w:tab/>
      </w:r>
      <w:r w:rsidRPr="00831EEA">
        <w:rPr>
          <w:rFonts w:ascii="Times New Roman" w:hAnsi="Times New Roman"/>
          <w:szCs w:val="24"/>
        </w:rPr>
        <w:tab/>
      </w:r>
      <w:r w:rsidRPr="00831EEA">
        <w:rPr>
          <w:rFonts w:ascii="Times New Roman" w:hAnsi="Times New Roman"/>
          <w:szCs w:val="24"/>
        </w:rPr>
        <w:tab/>
        <w:t>Year 2: Academic Honesty Policy</w:t>
      </w:r>
    </w:p>
    <w:p w14:paraId="1B1627E1" w14:textId="77777777" w:rsidR="0042575A" w:rsidRPr="00831EEA" w:rsidRDefault="0042575A" w:rsidP="00831EEA">
      <w:pPr>
        <w:pStyle w:val="Body"/>
        <w:ind w:left="360"/>
        <w:rPr>
          <w:rFonts w:ascii="Times New Roman" w:hAnsi="Times New Roman"/>
          <w:szCs w:val="24"/>
        </w:rPr>
      </w:pPr>
      <w:r w:rsidRPr="00831EEA">
        <w:rPr>
          <w:rFonts w:ascii="Times New Roman" w:hAnsi="Times New Roman"/>
          <w:szCs w:val="24"/>
        </w:rPr>
        <w:tab/>
      </w:r>
      <w:r w:rsidRPr="00831EEA">
        <w:rPr>
          <w:rFonts w:ascii="Times New Roman" w:hAnsi="Times New Roman"/>
          <w:szCs w:val="24"/>
        </w:rPr>
        <w:tab/>
      </w:r>
      <w:r w:rsidRPr="00831EEA">
        <w:rPr>
          <w:rFonts w:ascii="Times New Roman" w:hAnsi="Times New Roman"/>
          <w:szCs w:val="24"/>
        </w:rPr>
        <w:tab/>
        <w:t>Year 3: Language/Assessment Policies</w:t>
      </w:r>
    </w:p>
    <w:p w14:paraId="3C0495EA" w14:textId="77777777" w:rsidR="0042575A" w:rsidRPr="00831EEA" w:rsidRDefault="0042575A" w:rsidP="00831EEA">
      <w:pPr>
        <w:pStyle w:val="Body"/>
        <w:ind w:left="360"/>
        <w:rPr>
          <w:rFonts w:ascii="Times New Roman" w:hAnsi="Times New Roman"/>
          <w:szCs w:val="24"/>
        </w:rPr>
      </w:pPr>
    </w:p>
    <w:p w14:paraId="16F80E2C" w14:textId="6516BB50" w:rsidR="0042575A" w:rsidRPr="00831EEA" w:rsidRDefault="0042575A" w:rsidP="00831EEA">
      <w:pPr>
        <w:pStyle w:val="Body"/>
        <w:ind w:left="1440"/>
        <w:rPr>
          <w:rFonts w:ascii="Times New Roman" w:hAnsi="Times New Roman"/>
          <w:szCs w:val="24"/>
        </w:rPr>
      </w:pPr>
      <w:r w:rsidRPr="00831EEA">
        <w:rPr>
          <w:rFonts w:ascii="Times New Roman" w:hAnsi="Times New Roman"/>
          <w:szCs w:val="24"/>
        </w:rPr>
        <w:t>The DP Coordinator will organize a review committee made up of IB teachers. The committee will review the current policy and gather input from parents and students, and other teachers if necessary –the Special Education department and the ELL department for example. The DP Coordinator will bring suggested changes to the Kenmore East Leadership Team who will be the group that approves the final changes.</w:t>
      </w:r>
    </w:p>
    <w:p w14:paraId="4544717F" w14:textId="77777777" w:rsidR="0042575A" w:rsidRPr="00831EEA" w:rsidRDefault="0042575A" w:rsidP="00831EEA">
      <w:pPr>
        <w:pStyle w:val="Body"/>
        <w:ind w:left="1440"/>
        <w:rPr>
          <w:rFonts w:ascii="Times New Roman" w:hAnsi="Times New Roman"/>
          <w:szCs w:val="24"/>
        </w:rPr>
      </w:pPr>
    </w:p>
    <w:p w14:paraId="6DC2E1DC" w14:textId="77777777" w:rsidR="0042575A" w:rsidRPr="00831EEA" w:rsidRDefault="0042575A" w:rsidP="00831EEA">
      <w:pPr>
        <w:pStyle w:val="Body"/>
        <w:ind w:left="1440"/>
        <w:rPr>
          <w:rFonts w:ascii="Times New Roman" w:hAnsi="Times New Roman"/>
          <w:szCs w:val="24"/>
        </w:rPr>
      </w:pPr>
      <w:r w:rsidRPr="00831EEA">
        <w:rPr>
          <w:rFonts w:ascii="Times New Roman" w:hAnsi="Times New Roman"/>
          <w:szCs w:val="24"/>
        </w:rPr>
        <w:t xml:space="preserve">The new policy </w:t>
      </w:r>
      <w:proofErr w:type="gramStart"/>
      <w:r w:rsidRPr="00831EEA">
        <w:rPr>
          <w:rFonts w:ascii="Times New Roman" w:hAnsi="Times New Roman"/>
          <w:szCs w:val="24"/>
        </w:rPr>
        <w:t>will be distributed</w:t>
      </w:r>
      <w:proofErr w:type="gramEnd"/>
      <w:r w:rsidRPr="00831EEA">
        <w:rPr>
          <w:rFonts w:ascii="Times New Roman" w:hAnsi="Times New Roman"/>
          <w:szCs w:val="24"/>
        </w:rPr>
        <w:t xml:space="preserve"> to all stakeholders through the school web site, student agendas, and the IB student handbook.</w:t>
      </w:r>
    </w:p>
    <w:p w14:paraId="3E705670" w14:textId="77777777" w:rsidR="0088271E" w:rsidRDefault="0088271E">
      <w:pPr>
        <w:pStyle w:val="Body"/>
        <w:rPr>
          <w:rFonts w:ascii="Times New Roman" w:hAnsi="Times New Roman"/>
          <w:szCs w:val="24"/>
        </w:rPr>
      </w:pPr>
    </w:p>
    <w:p w14:paraId="6E3F0FB7" w14:textId="77777777" w:rsidR="00A1249A" w:rsidRDefault="00A1249A">
      <w:pPr>
        <w:rPr>
          <w:rFonts w:ascii="Times New Roman" w:hAnsi="Times New Roman"/>
          <w:szCs w:val="24"/>
        </w:rPr>
      </w:pPr>
    </w:p>
    <w:p w14:paraId="1A3BD847" w14:textId="77777777" w:rsidR="0042575A" w:rsidRDefault="0042575A">
      <w:pPr>
        <w:rPr>
          <w:rFonts w:ascii="Times New Roman" w:hAnsi="Times New Roman"/>
          <w:szCs w:val="24"/>
        </w:rPr>
      </w:pPr>
    </w:p>
    <w:p w14:paraId="04E4E1A1" w14:textId="77777777" w:rsidR="0042575A" w:rsidRPr="00DF41A2" w:rsidRDefault="0042575A" w:rsidP="0042575A">
      <w:pPr>
        <w:pStyle w:val="Body"/>
        <w:jc w:val="right"/>
        <w:rPr>
          <w:rFonts w:ascii="Times New Roman" w:hAnsi="Times New Roman"/>
          <w:b/>
          <w:szCs w:val="24"/>
        </w:rPr>
      </w:pPr>
      <w:r>
        <w:rPr>
          <w:rFonts w:ascii="Times New Roman" w:hAnsi="Times New Roman"/>
          <w:szCs w:val="24"/>
        </w:rPr>
        <w:t>Updated 11/2018</w:t>
      </w:r>
    </w:p>
    <w:p w14:paraId="12F1A4C8" w14:textId="0C9B8FDF" w:rsidR="0088271E" w:rsidRDefault="0042575A">
      <w:r w:rsidRPr="0076695D" w:rsidDel="0088271E">
        <w:rPr>
          <w:rFonts w:ascii="Times New Roman" w:hAnsi="Times New Roman"/>
          <w:szCs w:val="24"/>
        </w:rPr>
        <w:t xml:space="preserve"> </w:t>
      </w:r>
    </w:p>
    <w:sectPr w:rsidR="008827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Lasch" w:date="2019-01-03T10:40:00Z" w:initials="PL">
    <w:p w14:paraId="2DB6E832" w14:textId="74A1B895" w:rsidR="006439A0" w:rsidRDefault="006439A0">
      <w:pPr>
        <w:pStyle w:val="CommentText"/>
      </w:pPr>
      <w:r>
        <w:rPr>
          <w:rStyle w:val="CommentReference"/>
        </w:rPr>
        <w:annotationRef/>
      </w:r>
      <w:r>
        <w:t>Add section on ATL and ATT</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B6E8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840B9"/>
    <w:multiLevelType w:val="hybridMultilevel"/>
    <w:tmpl w:val="705C092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7AA110D"/>
    <w:multiLevelType w:val="hybridMultilevel"/>
    <w:tmpl w:val="4D80C0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4870151"/>
    <w:multiLevelType w:val="hybridMultilevel"/>
    <w:tmpl w:val="699E681E"/>
    <w:lvl w:ilvl="0" w:tplc="FFFFFFF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53FA"/>
    <w:multiLevelType w:val="hybridMultilevel"/>
    <w:tmpl w:val="6838A6AA"/>
    <w:lvl w:ilvl="0" w:tplc="FFFFFFFF">
      <w:start w:val="1"/>
      <w:numFmt w:val="decimal"/>
      <w:lvlText w:val="%1."/>
      <w:lvlJc w:val="left"/>
      <w:pPr>
        <w:tabs>
          <w:tab w:val="num" w:pos="720"/>
        </w:tabs>
        <w:ind w:left="720" w:hanging="360"/>
      </w:pPr>
      <w:rPr>
        <w:rFonts w:hint="default"/>
        <w:position w:val="0"/>
      </w:rPr>
    </w:lvl>
    <w:lvl w:ilvl="1" w:tplc="04090001">
      <w:start w:val="1"/>
      <w:numFmt w:val="bullet"/>
      <w:lvlText w:val=""/>
      <w:lvlJc w:val="left"/>
      <w:pPr>
        <w:tabs>
          <w:tab w:val="num" w:pos="1440"/>
        </w:tabs>
        <w:ind w:left="1440" w:hanging="360"/>
      </w:pPr>
      <w:rPr>
        <w:rFonts w:ascii="Symbol" w:hAnsi="Symbol" w:hint="default"/>
        <w:position w:val="0"/>
      </w:rPr>
    </w:lvl>
    <w:lvl w:ilvl="2" w:tplc="FFFFFFFF">
      <w:start w:val="1"/>
      <w:numFmt w:val="lowerRoman"/>
      <w:lvlText w:val="%3."/>
      <w:lvlJc w:val="right"/>
      <w:pPr>
        <w:tabs>
          <w:tab w:val="num" w:pos="2160"/>
        </w:tabs>
        <w:ind w:left="2160" w:hanging="180"/>
      </w:pPr>
      <w:rPr>
        <w:rFonts w:hint="default"/>
        <w:position w:val="0"/>
      </w:rPr>
    </w:lvl>
    <w:lvl w:ilvl="3" w:tplc="FFFFFFFF">
      <w:start w:val="1"/>
      <w:numFmt w:val="decimal"/>
      <w:lvlText w:val="%4."/>
      <w:lvlJc w:val="left"/>
      <w:pPr>
        <w:tabs>
          <w:tab w:val="num" w:pos="2880"/>
        </w:tabs>
        <w:ind w:left="2880" w:hanging="360"/>
      </w:pPr>
      <w:rPr>
        <w:rFonts w:hint="default"/>
        <w:position w:val="0"/>
      </w:rPr>
    </w:lvl>
    <w:lvl w:ilvl="4" w:tplc="8C16A1B0">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tabs>
          <w:tab w:val="num" w:pos="4320"/>
        </w:tabs>
        <w:ind w:left="4320" w:hanging="180"/>
      </w:pPr>
      <w:rPr>
        <w:rFonts w:hint="default"/>
        <w:position w:val="0"/>
      </w:rPr>
    </w:lvl>
    <w:lvl w:ilvl="6" w:tplc="FFFFFFFF" w:tentative="1">
      <w:start w:val="1"/>
      <w:numFmt w:val="decimal"/>
      <w:lvlText w:val="%7."/>
      <w:lvlJc w:val="left"/>
      <w:pPr>
        <w:tabs>
          <w:tab w:val="num" w:pos="5040"/>
        </w:tabs>
        <w:ind w:left="5040" w:hanging="360"/>
      </w:pPr>
      <w:rPr>
        <w:rFonts w:hint="default"/>
        <w:position w:val="0"/>
      </w:rPr>
    </w:lvl>
    <w:lvl w:ilvl="7" w:tplc="FFFFFFFF" w:tentative="1">
      <w:start w:val="1"/>
      <w:numFmt w:val="lowerLetter"/>
      <w:lvlText w:val="%8."/>
      <w:lvlJc w:val="left"/>
      <w:pPr>
        <w:tabs>
          <w:tab w:val="num" w:pos="5760"/>
        </w:tabs>
        <w:ind w:left="5760" w:hanging="360"/>
      </w:pPr>
      <w:rPr>
        <w:rFonts w:hint="default"/>
        <w:position w:val="0"/>
      </w:rPr>
    </w:lvl>
    <w:lvl w:ilvl="8" w:tplc="FFFFFFFF" w:tentative="1">
      <w:start w:val="1"/>
      <w:numFmt w:val="lowerRoman"/>
      <w:lvlText w:val="%9."/>
      <w:lvlJc w:val="right"/>
      <w:pPr>
        <w:tabs>
          <w:tab w:val="num" w:pos="6480"/>
        </w:tabs>
        <w:ind w:left="6480" w:hanging="180"/>
      </w:pPr>
      <w:rPr>
        <w:rFonts w:hint="default"/>
        <w:position w:val="0"/>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Lasch">
    <w15:presenceInfo w15:providerId="None" w15:userId="Paul Las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1F"/>
    <w:rsid w:val="000A34FF"/>
    <w:rsid w:val="000F70D2"/>
    <w:rsid w:val="001667C4"/>
    <w:rsid w:val="0042575A"/>
    <w:rsid w:val="00494225"/>
    <w:rsid w:val="004C7A13"/>
    <w:rsid w:val="00515C7E"/>
    <w:rsid w:val="006439A0"/>
    <w:rsid w:val="00747345"/>
    <w:rsid w:val="0079711F"/>
    <w:rsid w:val="007D3F34"/>
    <w:rsid w:val="00831EEA"/>
    <w:rsid w:val="0088271E"/>
    <w:rsid w:val="00A00B10"/>
    <w:rsid w:val="00A052B4"/>
    <w:rsid w:val="00A1249A"/>
    <w:rsid w:val="00B66008"/>
    <w:rsid w:val="00C5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7E0E"/>
  <w15:docId w15:val="{C8A927BF-26B3-4B01-B4D4-9F99818C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1F"/>
    <w:rPr>
      <w:rFonts w:eastAsiaTheme="minorEastAsia"/>
    </w:rPr>
  </w:style>
  <w:style w:type="paragraph" w:styleId="Heading1">
    <w:name w:val="heading 1"/>
    <w:basedOn w:val="Normal"/>
    <w:next w:val="Normal"/>
    <w:link w:val="Heading1Char"/>
    <w:qFormat/>
    <w:rsid w:val="0079711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9711F"/>
    <w:pPr>
      <w:keepNext/>
      <w:spacing w:before="240" w:after="240" w:line="240" w:lineRule="auto"/>
      <w:outlineLvl w:val="1"/>
    </w:pPr>
    <w:rPr>
      <w:rFonts w:ascii="Arial" w:eastAsia="ヒラギノ角ゴ Pro W3"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11F"/>
    <w:rPr>
      <w:rFonts w:ascii="Arial" w:eastAsia="Times New Roman" w:hAnsi="Arial" w:cs="Arial"/>
      <w:b/>
      <w:bCs/>
      <w:kern w:val="32"/>
      <w:sz w:val="32"/>
      <w:szCs w:val="32"/>
    </w:rPr>
  </w:style>
  <w:style w:type="character" w:customStyle="1" w:styleId="Heading2Char">
    <w:name w:val="Heading 2 Char"/>
    <w:basedOn w:val="DefaultParagraphFont"/>
    <w:link w:val="Heading2"/>
    <w:rsid w:val="0079711F"/>
    <w:rPr>
      <w:rFonts w:ascii="Arial" w:eastAsia="ヒラギノ角ゴ Pro W3" w:hAnsi="Arial" w:cs="Arial"/>
      <w:b/>
      <w:bCs/>
      <w:i/>
      <w:iCs/>
      <w:color w:val="000000"/>
      <w:sz w:val="28"/>
      <w:szCs w:val="28"/>
    </w:rPr>
  </w:style>
  <w:style w:type="paragraph" w:styleId="NoSpacing">
    <w:name w:val="No Spacing"/>
    <w:link w:val="NoSpacingChar"/>
    <w:uiPriority w:val="1"/>
    <w:qFormat/>
    <w:rsid w:val="0079711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9711F"/>
    <w:rPr>
      <w:rFonts w:eastAsiaTheme="minorEastAsia"/>
      <w:lang w:eastAsia="ja-JP"/>
    </w:rPr>
  </w:style>
  <w:style w:type="paragraph" w:customStyle="1" w:styleId="Body">
    <w:name w:val="Body"/>
    <w:rsid w:val="0079711F"/>
    <w:pPr>
      <w:spacing w:after="0" w:line="240" w:lineRule="auto"/>
    </w:pPr>
    <w:rPr>
      <w:rFonts w:ascii="Helvetica" w:eastAsia="ヒラギノ角ゴ Pro W3" w:hAnsi="Helvetica" w:cs="Times New Roman"/>
      <w:color w:val="000000"/>
      <w:sz w:val="24"/>
      <w:szCs w:val="20"/>
    </w:rPr>
  </w:style>
  <w:style w:type="character" w:styleId="CommentReference">
    <w:name w:val="annotation reference"/>
    <w:basedOn w:val="DefaultParagraphFont"/>
    <w:uiPriority w:val="99"/>
    <w:semiHidden/>
    <w:unhideWhenUsed/>
    <w:rsid w:val="00494225"/>
    <w:rPr>
      <w:sz w:val="16"/>
      <w:szCs w:val="16"/>
    </w:rPr>
  </w:style>
  <w:style w:type="paragraph" w:styleId="CommentText">
    <w:name w:val="annotation text"/>
    <w:basedOn w:val="Normal"/>
    <w:link w:val="CommentTextChar"/>
    <w:uiPriority w:val="99"/>
    <w:semiHidden/>
    <w:unhideWhenUsed/>
    <w:rsid w:val="00494225"/>
    <w:pPr>
      <w:spacing w:line="240" w:lineRule="auto"/>
    </w:pPr>
    <w:rPr>
      <w:sz w:val="20"/>
      <w:szCs w:val="20"/>
    </w:rPr>
  </w:style>
  <w:style w:type="character" w:customStyle="1" w:styleId="CommentTextChar">
    <w:name w:val="Comment Text Char"/>
    <w:basedOn w:val="DefaultParagraphFont"/>
    <w:link w:val="CommentText"/>
    <w:uiPriority w:val="99"/>
    <w:semiHidden/>
    <w:rsid w:val="0049422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94225"/>
    <w:rPr>
      <w:b/>
      <w:bCs/>
    </w:rPr>
  </w:style>
  <w:style w:type="character" w:customStyle="1" w:styleId="CommentSubjectChar">
    <w:name w:val="Comment Subject Char"/>
    <w:basedOn w:val="CommentTextChar"/>
    <w:link w:val="CommentSubject"/>
    <w:uiPriority w:val="99"/>
    <w:semiHidden/>
    <w:rsid w:val="00494225"/>
    <w:rPr>
      <w:rFonts w:eastAsiaTheme="minorEastAsia"/>
      <w:b/>
      <w:bCs/>
      <w:sz w:val="20"/>
      <w:szCs w:val="20"/>
    </w:rPr>
  </w:style>
  <w:style w:type="paragraph" w:styleId="BalloonText">
    <w:name w:val="Balloon Text"/>
    <w:basedOn w:val="Normal"/>
    <w:link w:val="BalloonTextChar"/>
    <w:uiPriority w:val="99"/>
    <w:semiHidden/>
    <w:unhideWhenUsed/>
    <w:rsid w:val="00494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25"/>
    <w:rPr>
      <w:rFonts w:ascii="Segoe UI" w:eastAsiaTheme="minorEastAsia" w:hAnsi="Segoe UI" w:cs="Segoe UI"/>
      <w:sz w:val="18"/>
      <w:szCs w:val="18"/>
    </w:rPr>
  </w:style>
  <w:style w:type="table" w:styleId="TableGrid">
    <w:name w:val="Table Grid"/>
    <w:basedOn w:val="TableNormal"/>
    <w:uiPriority w:val="59"/>
    <w:rsid w:val="00A1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93214">
      <w:bodyDiv w:val="1"/>
      <w:marLeft w:val="0"/>
      <w:marRight w:val="0"/>
      <w:marTop w:val="0"/>
      <w:marBottom w:val="0"/>
      <w:divBdr>
        <w:top w:val="none" w:sz="0" w:space="0" w:color="auto"/>
        <w:left w:val="none" w:sz="0" w:space="0" w:color="auto"/>
        <w:bottom w:val="none" w:sz="0" w:space="0" w:color="auto"/>
        <w:right w:val="none" w:sz="0" w:space="0" w:color="auto"/>
      </w:divBdr>
      <w:divsChild>
        <w:div w:id="561675420">
          <w:marLeft w:val="0"/>
          <w:marRight w:val="0"/>
          <w:marTop w:val="0"/>
          <w:marBottom w:val="0"/>
          <w:divBdr>
            <w:top w:val="none" w:sz="0" w:space="0" w:color="auto"/>
            <w:left w:val="none" w:sz="0" w:space="0" w:color="auto"/>
            <w:bottom w:val="none" w:sz="0" w:space="0" w:color="auto"/>
            <w:right w:val="none" w:sz="0" w:space="0" w:color="auto"/>
          </w:divBdr>
        </w:div>
        <w:div w:id="286013886">
          <w:marLeft w:val="0"/>
          <w:marRight w:val="0"/>
          <w:marTop w:val="0"/>
          <w:marBottom w:val="0"/>
          <w:divBdr>
            <w:top w:val="none" w:sz="0" w:space="0" w:color="auto"/>
            <w:left w:val="none" w:sz="0" w:space="0" w:color="auto"/>
            <w:bottom w:val="none" w:sz="0" w:space="0" w:color="auto"/>
            <w:right w:val="none" w:sz="0" w:space="0" w:color="auto"/>
          </w:divBdr>
        </w:div>
        <w:div w:id="973684230">
          <w:marLeft w:val="0"/>
          <w:marRight w:val="0"/>
          <w:marTop w:val="0"/>
          <w:marBottom w:val="0"/>
          <w:divBdr>
            <w:top w:val="none" w:sz="0" w:space="0" w:color="auto"/>
            <w:left w:val="none" w:sz="0" w:space="0" w:color="auto"/>
            <w:bottom w:val="none" w:sz="0" w:space="0" w:color="auto"/>
            <w:right w:val="none" w:sz="0" w:space="0" w:color="auto"/>
          </w:divBdr>
        </w:div>
        <w:div w:id="323167359">
          <w:marLeft w:val="0"/>
          <w:marRight w:val="0"/>
          <w:marTop w:val="0"/>
          <w:marBottom w:val="0"/>
          <w:divBdr>
            <w:top w:val="none" w:sz="0" w:space="0" w:color="auto"/>
            <w:left w:val="none" w:sz="0" w:space="0" w:color="auto"/>
            <w:bottom w:val="none" w:sz="0" w:space="0" w:color="auto"/>
            <w:right w:val="none" w:sz="0" w:space="0" w:color="auto"/>
          </w:divBdr>
        </w:div>
        <w:div w:id="499735441">
          <w:marLeft w:val="0"/>
          <w:marRight w:val="0"/>
          <w:marTop w:val="0"/>
          <w:marBottom w:val="0"/>
          <w:divBdr>
            <w:top w:val="none" w:sz="0" w:space="0" w:color="auto"/>
            <w:left w:val="none" w:sz="0" w:space="0" w:color="auto"/>
            <w:bottom w:val="none" w:sz="0" w:space="0" w:color="auto"/>
            <w:right w:val="none" w:sz="0" w:space="0" w:color="auto"/>
          </w:divBdr>
        </w:div>
        <w:div w:id="1872182094">
          <w:marLeft w:val="0"/>
          <w:marRight w:val="0"/>
          <w:marTop w:val="0"/>
          <w:marBottom w:val="0"/>
          <w:divBdr>
            <w:top w:val="none" w:sz="0" w:space="0" w:color="auto"/>
            <w:left w:val="none" w:sz="0" w:space="0" w:color="auto"/>
            <w:bottom w:val="none" w:sz="0" w:space="0" w:color="auto"/>
            <w:right w:val="none" w:sz="0" w:space="0" w:color="auto"/>
          </w:divBdr>
        </w:div>
        <w:div w:id="977809158">
          <w:marLeft w:val="0"/>
          <w:marRight w:val="0"/>
          <w:marTop w:val="0"/>
          <w:marBottom w:val="0"/>
          <w:divBdr>
            <w:top w:val="none" w:sz="0" w:space="0" w:color="auto"/>
            <w:left w:val="none" w:sz="0" w:space="0" w:color="auto"/>
            <w:bottom w:val="none" w:sz="0" w:space="0" w:color="auto"/>
            <w:right w:val="none" w:sz="0" w:space="0" w:color="auto"/>
          </w:divBdr>
        </w:div>
        <w:div w:id="148601616">
          <w:marLeft w:val="0"/>
          <w:marRight w:val="0"/>
          <w:marTop w:val="0"/>
          <w:marBottom w:val="0"/>
          <w:divBdr>
            <w:top w:val="none" w:sz="0" w:space="0" w:color="auto"/>
            <w:left w:val="none" w:sz="0" w:space="0" w:color="auto"/>
            <w:bottom w:val="none" w:sz="0" w:space="0" w:color="auto"/>
            <w:right w:val="none" w:sz="0" w:space="0" w:color="auto"/>
          </w:divBdr>
        </w:div>
        <w:div w:id="1273513414">
          <w:marLeft w:val="0"/>
          <w:marRight w:val="0"/>
          <w:marTop w:val="0"/>
          <w:marBottom w:val="0"/>
          <w:divBdr>
            <w:top w:val="none" w:sz="0" w:space="0" w:color="auto"/>
            <w:left w:val="none" w:sz="0" w:space="0" w:color="auto"/>
            <w:bottom w:val="none" w:sz="0" w:space="0" w:color="auto"/>
            <w:right w:val="none" w:sz="0" w:space="0" w:color="auto"/>
          </w:divBdr>
        </w:div>
        <w:div w:id="1745181961">
          <w:marLeft w:val="0"/>
          <w:marRight w:val="0"/>
          <w:marTop w:val="0"/>
          <w:marBottom w:val="0"/>
          <w:divBdr>
            <w:top w:val="none" w:sz="0" w:space="0" w:color="auto"/>
            <w:left w:val="none" w:sz="0" w:space="0" w:color="auto"/>
            <w:bottom w:val="none" w:sz="0" w:space="0" w:color="auto"/>
            <w:right w:val="none" w:sz="0" w:space="0" w:color="auto"/>
          </w:divBdr>
        </w:div>
        <w:div w:id="1468936912">
          <w:marLeft w:val="0"/>
          <w:marRight w:val="0"/>
          <w:marTop w:val="0"/>
          <w:marBottom w:val="0"/>
          <w:divBdr>
            <w:top w:val="none" w:sz="0" w:space="0" w:color="auto"/>
            <w:left w:val="none" w:sz="0" w:space="0" w:color="auto"/>
            <w:bottom w:val="none" w:sz="0" w:space="0" w:color="auto"/>
            <w:right w:val="none" w:sz="0" w:space="0" w:color="auto"/>
          </w:divBdr>
        </w:div>
        <w:div w:id="1767578447">
          <w:marLeft w:val="0"/>
          <w:marRight w:val="0"/>
          <w:marTop w:val="0"/>
          <w:marBottom w:val="0"/>
          <w:divBdr>
            <w:top w:val="none" w:sz="0" w:space="0" w:color="auto"/>
            <w:left w:val="none" w:sz="0" w:space="0" w:color="auto"/>
            <w:bottom w:val="none" w:sz="0" w:space="0" w:color="auto"/>
            <w:right w:val="none" w:sz="0" w:space="0" w:color="auto"/>
          </w:divBdr>
        </w:div>
        <w:div w:id="1156260959">
          <w:marLeft w:val="0"/>
          <w:marRight w:val="0"/>
          <w:marTop w:val="0"/>
          <w:marBottom w:val="0"/>
          <w:divBdr>
            <w:top w:val="none" w:sz="0" w:space="0" w:color="auto"/>
            <w:left w:val="none" w:sz="0" w:space="0" w:color="auto"/>
            <w:bottom w:val="none" w:sz="0" w:space="0" w:color="auto"/>
            <w:right w:val="none" w:sz="0" w:space="0" w:color="auto"/>
          </w:divBdr>
        </w:div>
        <w:div w:id="1485006110">
          <w:marLeft w:val="0"/>
          <w:marRight w:val="0"/>
          <w:marTop w:val="0"/>
          <w:marBottom w:val="0"/>
          <w:divBdr>
            <w:top w:val="none" w:sz="0" w:space="0" w:color="auto"/>
            <w:left w:val="none" w:sz="0" w:space="0" w:color="auto"/>
            <w:bottom w:val="none" w:sz="0" w:space="0" w:color="auto"/>
            <w:right w:val="none" w:sz="0" w:space="0" w:color="auto"/>
          </w:divBdr>
        </w:div>
        <w:div w:id="1731034519">
          <w:marLeft w:val="0"/>
          <w:marRight w:val="0"/>
          <w:marTop w:val="0"/>
          <w:marBottom w:val="0"/>
          <w:divBdr>
            <w:top w:val="none" w:sz="0" w:space="0" w:color="auto"/>
            <w:left w:val="none" w:sz="0" w:space="0" w:color="auto"/>
            <w:bottom w:val="none" w:sz="0" w:space="0" w:color="auto"/>
            <w:right w:val="none" w:sz="0" w:space="0" w:color="auto"/>
          </w:divBdr>
        </w:div>
        <w:div w:id="858934577">
          <w:marLeft w:val="0"/>
          <w:marRight w:val="0"/>
          <w:marTop w:val="0"/>
          <w:marBottom w:val="0"/>
          <w:divBdr>
            <w:top w:val="none" w:sz="0" w:space="0" w:color="auto"/>
            <w:left w:val="none" w:sz="0" w:space="0" w:color="auto"/>
            <w:bottom w:val="none" w:sz="0" w:space="0" w:color="auto"/>
            <w:right w:val="none" w:sz="0" w:space="0" w:color="auto"/>
          </w:divBdr>
        </w:div>
        <w:div w:id="1824855213">
          <w:marLeft w:val="0"/>
          <w:marRight w:val="0"/>
          <w:marTop w:val="0"/>
          <w:marBottom w:val="0"/>
          <w:divBdr>
            <w:top w:val="none" w:sz="0" w:space="0" w:color="auto"/>
            <w:left w:val="none" w:sz="0" w:space="0" w:color="auto"/>
            <w:bottom w:val="none" w:sz="0" w:space="0" w:color="auto"/>
            <w:right w:val="none" w:sz="0" w:space="0" w:color="auto"/>
          </w:divBdr>
        </w:div>
        <w:div w:id="1342051533">
          <w:marLeft w:val="0"/>
          <w:marRight w:val="0"/>
          <w:marTop w:val="0"/>
          <w:marBottom w:val="0"/>
          <w:divBdr>
            <w:top w:val="none" w:sz="0" w:space="0" w:color="auto"/>
            <w:left w:val="none" w:sz="0" w:space="0" w:color="auto"/>
            <w:bottom w:val="none" w:sz="0" w:space="0" w:color="auto"/>
            <w:right w:val="none" w:sz="0" w:space="0" w:color="auto"/>
          </w:divBdr>
        </w:div>
        <w:div w:id="117186516">
          <w:marLeft w:val="0"/>
          <w:marRight w:val="0"/>
          <w:marTop w:val="0"/>
          <w:marBottom w:val="0"/>
          <w:divBdr>
            <w:top w:val="none" w:sz="0" w:space="0" w:color="auto"/>
            <w:left w:val="none" w:sz="0" w:space="0" w:color="auto"/>
            <w:bottom w:val="none" w:sz="0" w:space="0" w:color="auto"/>
            <w:right w:val="none" w:sz="0" w:space="0" w:color="auto"/>
          </w:divBdr>
        </w:div>
        <w:div w:id="338509144">
          <w:marLeft w:val="0"/>
          <w:marRight w:val="0"/>
          <w:marTop w:val="0"/>
          <w:marBottom w:val="0"/>
          <w:divBdr>
            <w:top w:val="none" w:sz="0" w:space="0" w:color="auto"/>
            <w:left w:val="none" w:sz="0" w:space="0" w:color="auto"/>
            <w:bottom w:val="none" w:sz="0" w:space="0" w:color="auto"/>
            <w:right w:val="none" w:sz="0" w:space="0" w:color="auto"/>
          </w:divBdr>
        </w:div>
        <w:div w:id="69154597">
          <w:marLeft w:val="0"/>
          <w:marRight w:val="0"/>
          <w:marTop w:val="0"/>
          <w:marBottom w:val="0"/>
          <w:divBdr>
            <w:top w:val="none" w:sz="0" w:space="0" w:color="auto"/>
            <w:left w:val="none" w:sz="0" w:space="0" w:color="auto"/>
            <w:bottom w:val="none" w:sz="0" w:space="0" w:color="auto"/>
            <w:right w:val="none" w:sz="0" w:space="0" w:color="auto"/>
          </w:divBdr>
        </w:div>
        <w:div w:id="196891788">
          <w:marLeft w:val="0"/>
          <w:marRight w:val="0"/>
          <w:marTop w:val="0"/>
          <w:marBottom w:val="0"/>
          <w:divBdr>
            <w:top w:val="none" w:sz="0" w:space="0" w:color="auto"/>
            <w:left w:val="none" w:sz="0" w:space="0" w:color="auto"/>
            <w:bottom w:val="none" w:sz="0" w:space="0" w:color="auto"/>
            <w:right w:val="none" w:sz="0" w:space="0" w:color="auto"/>
          </w:divBdr>
        </w:div>
        <w:div w:id="446237806">
          <w:marLeft w:val="0"/>
          <w:marRight w:val="0"/>
          <w:marTop w:val="0"/>
          <w:marBottom w:val="0"/>
          <w:divBdr>
            <w:top w:val="none" w:sz="0" w:space="0" w:color="auto"/>
            <w:left w:val="none" w:sz="0" w:space="0" w:color="auto"/>
            <w:bottom w:val="none" w:sz="0" w:space="0" w:color="auto"/>
            <w:right w:val="none" w:sz="0" w:space="0" w:color="auto"/>
          </w:divBdr>
        </w:div>
        <w:div w:id="1953320884">
          <w:marLeft w:val="0"/>
          <w:marRight w:val="0"/>
          <w:marTop w:val="0"/>
          <w:marBottom w:val="0"/>
          <w:divBdr>
            <w:top w:val="none" w:sz="0" w:space="0" w:color="auto"/>
            <w:left w:val="none" w:sz="0" w:space="0" w:color="auto"/>
            <w:bottom w:val="none" w:sz="0" w:space="0" w:color="auto"/>
            <w:right w:val="none" w:sz="0" w:space="0" w:color="auto"/>
          </w:divBdr>
        </w:div>
        <w:div w:id="1131434146">
          <w:marLeft w:val="0"/>
          <w:marRight w:val="0"/>
          <w:marTop w:val="0"/>
          <w:marBottom w:val="0"/>
          <w:divBdr>
            <w:top w:val="none" w:sz="0" w:space="0" w:color="auto"/>
            <w:left w:val="none" w:sz="0" w:space="0" w:color="auto"/>
            <w:bottom w:val="none" w:sz="0" w:space="0" w:color="auto"/>
            <w:right w:val="none" w:sz="0" w:space="0" w:color="auto"/>
          </w:divBdr>
        </w:div>
        <w:div w:id="2086603864">
          <w:marLeft w:val="0"/>
          <w:marRight w:val="0"/>
          <w:marTop w:val="0"/>
          <w:marBottom w:val="0"/>
          <w:divBdr>
            <w:top w:val="none" w:sz="0" w:space="0" w:color="auto"/>
            <w:left w:val="none" w:sz="0" w:space="0" w:color="auto"/>
            <w:bottom w:val="none" w:sz="0" w:space="0" w:color="auto"/>
            <w:right w:val="none" w:sz="0" w:space="0" w:color="auto"/>
          </w:divBdr>
        </w:div>
        <w:div w:id="243220701">
          <w:marLeft w:val="0"/>
          <w:marRight w:val="0"/>
          <w:marTop w:val="0"/>
          <w:marBottom w:val="0"/>
          <w:divBdr>
            <w:top w:val="none" w:sz="0" w:space="0" w:color="auto"/>
            <w:left w:val="none" w:sz="0" w:space="0" w:color="auto"/>
            <w:bottom w:val="none" w:sz="0" w:space="0" w:color="auto"/>
            <w:right w:val="none" w:sz="0" w:space="0" w:color="auto"/>
          </w:divBdr>
        </w:div>
        <w:div w:id="2078165476">
          <w:marLeft w:val="0"/>
          <w:marRight w:val="0"/>
          <w:marTop w:val="0"/>
          <w:marBottom w:val="0"/>
          <w:divBdr>
            <w:top w:val="none" w:sz="0" w:space="0" w:color="auto"/>
            <w:left w:val="none" w:sz="0" w:space="0" w:color="auto"/>
            <w:bottom w:val="none" w:sz="0" w:space="0" w:color="auto"/>
            <w:right w:val="none" w:sz="0" w:space="0" w:color="auto"/>
          </w:divBdr>
        </w:div>
        <w:div w:id="1420180090">
          <w:marLeft w:val="0"/>
          <w:marRight w:val="0"/>
          <w:marTop w:val="0"/>
          <w:marBottom w:val="0"/>
          <w:divBdr>
            <w:top w:val="none" w:sz="0" w:space="0" w:color="auto"/>
            <w:left w:val="none" w:sz="0" w:space="0" w:color="auto"/>
            <w:bottom w:val="none" w:sz="0" w:space="0" w:color="auto"/>
            <w:right w:val="none" w:sz="0" w:space="0" w:color="auto"/>
          </w:divBdr>
        </w:div>
        <w:div w:id="1800952310">
          <w:marLeft w:val="0"/>
          <w:marRight w:val="0"/>
          <w:marTop w:val="0"/>
          <w:marBottom w:val="0"/>
          <w:divBdr>
            <w:top w:val="none" w:sz="0" w:space="0" w:color="auto"/>
            <w:left w:val="none" w:sz="0" w:space="0" w:color="auto"/>
            <w:bottom w:val="none" w:sz="0" w:space="0" w:color="auto"/>
            <w:right w:val="none" w:sz="0" w:space="0" w:color="auto"/>
          </w:divBdr>
        </w:div>
        <w:div w:id="1515025529">
          <w:marLeft w:val="0"/>
          <w:marRight w:val="0"/>
          <w:marTop w:val="0"/>
          <w:marBottom w:val="0"/>
          <w:divBdr>
            <w:top w:val="none" w:sz="0" w:space="0" w:color="auto"/>
            <w:left w:val="none" w:sz="0" w:space="0" w:color="auto"/>
            <w:bottom w:val="none" w:sz="0" w:space="0" w:color="auto"/>
            <w:right w:val="none" w:sz="0" w:space="0" w:color="auto"/>
          </w:divBdr>
        </w:div>
        <w:div w:id="1598751501">
          <w:marLeft w:val="0"/>
          <w:marRight w:val="0"/>
          <w:marTop w:val="0"/>
          <w:marBottom w:val="0"/>
          <w:divBdr>
            <w:top w:val="none" w:sz="0" w:space="0" w:color="auto"/>
            <w:left w:val="none" w:sz="0" w:space="0" w:color="auto"/>
            <w:bottom w:val="none" w:sz="0" w:space="0" w:color="auto"/>
            <w:right w:val="none" w:sz="0" w:space="0" w:color="auto"/>
          </w:divBdr>
        </w:div>
        <w:div w:id="157814368">
          <w:marLeft w:val="0"/>
          <w:marRight w:val="0"/>
          <w:marTop w:val="0"/>
          <w:marBottom w:val="0"/>
          <w:divBdr>
            <w:top w:val="none" w:sz="0" w:space="0" w:color="auto"/>
            <w:left w:val="none" w:sz="0" w:space="0" w:color="auto"/>
            <w:bottom w:val="none" w:sz="0" w:space="0" w:color="auto"/>
            <w:right w:val="none" w:sz="0" w:space="0" w:color="auto"/>
          </w:divBdr>
        </w:div>
        <w:div w:id="145634351">
          <w:marLeft w:val="0"/>
          <w:marRight w:val="0"/>
          <w:marTop w:val="0"/>
          <w:marBottom w:val="0"/>
          <w:divBdr>
            <w:top w:val="none" w:sz="0" w:space="0" w:color="auto"/>
            <w:left w:val="none" w:sz="0" w:space="0" w:color="auto"/>
            <w:bottom w:val="none" w:sz="0" w:space="0" w:color="auto"/>
            <w:right w:val="none" w:sz="0" w:space="0" w:color="auto"/>
          </w:divBdr>
        </w:div>
        <w:div w:id="361518364">
          <w:marLeft w:val="0"/>
          <w:marRight w:val="0"/>
          <w:marTop w:val="0"/>
          <w:marBottom w:val="0"/>
          <w:divBdr>
            <w:top w:val="none" w:sz="0" w:space="0" w:color="auto"/>
            <w:left w:val="none" w:sz="0" w:space="0" w:color="auto"/>
            <w:bottom w:val="none" w:sz="0" w:space="0" w:color="auto"/>
            <w:right w:val="none" w:sz="0" w:space="0" w:color="auto"/>
          </w:divBdr>
        </w:div>
        <w:div w:id="1181775073">
          <w:marLeft w:val="0"/>
          <w:marRight w:val="0"/>
          <w:marTop w:val="0"/>
          <w:marBottom w:val="0"/>
          <w:divBdr>
            <w:top w:val="none" w:sz="0" w:space="0" w:color="auto"/>
            <w:left w:val="none" w:sz="0" w:space="0" w:color="auto"/>
            <w:bottom w:val="none" w:sz="0" w:space="0" w:color="auto"/>
            <w:right w:val="none" w:sz="0" w:space="0" w:color="auto"/>
          </w:divBdr>
        </w:div>
        <w:div w:id="2008512496">
          <w:marLeft w:val="0"/>
          <w:marRight w:val="0"/>
          <w:marTop w:val="0"/>
          <w:marBottom w:val="0"/>
          <w:divBdr>
            <w:top w:val="none" w:sz="0" w:space="0" w:color="auto"/>
            <w:left w:val="none" w:sz="0" w:space="0" w:color="auto"/>
            <w:bottom w:val="none" w:sz="0" w:space="0" w:color="auto"/>
            <w:right w:val="none" w:sz="0" w:space="0" w:color="auto"/>
          </w:divBdr>
        </w:div>
        <w:div w:id="1391998802">
          <w:marLeft w:val="0"/>
          <w:marRight w:val="0"/>
          <w:marTop w:val="0"/>
          <w:marBottom w:val="0"/>
          <w:divBdr>
            <w:top w:val="none" w:sz="0" w:space="0" w:color="auto"/>
            <w:left w:val="none" w:sz="0" w:space="0" w:color="auto"/>
            <w:bottom w:val="none" w:sz="0" w:space="0" w:color="auto"/>
            <w:right w:val="none" w:sz="0" w:space="0" w:color="auto"/>
          </w:divBdr>
        </w:div>
        <w:div w:id="1460152357">
          <w:marLeft w:val="0"/>
          <w:marRight w:val="0"/>
          <w:marTop w:val="0"/>
          <w:marBottom w:val="0"/>
          <w:divBdr>
            <w:top w:val="none" w:sz="0" w:space="0" w:color="auto"/>
            <w:left w:val="none" w:sz="0" w:space="0" w:color="auto"/>
            <w:bottom w:val="none" w:sz="0" w:space="0" w:color="auto"/>
            <w:right w:val="none" w:sz="0" w:space="0" w:color="auto"/>
          </w:divBdr>
        </w:div>
        <w:div w:id="789282737">
          <w:marLeft w:val="0"/>
          <w:marRight w:val="0"/>
          <w:marTop w:val="0"/>
          <w:marBottom w:val="0"/>
          <w:divBdr>
            <w:top w:val="none" w:sz="0" w:space="0" w:color="auto"/>
            <w:left w:val="none" w:sz="0" w:space="0" w:color="auto"/>
            <w:bottom w:val="none" w:sz="0" w:space="0" w:color="auto"/>
            <w:right w:val="none" w:sz="0" w:space="0" w:color="auto"/>
          </w:divBdr>
        </w:div>
        <w:div w:id="1248997602">
          <w:marLeft w:val="0"/>
          <w:marRight w:val="0"/>
          <w:marTop w:val="0"/>
          <w:marBottom w:val="0"/>
          <w:divBdr>
            <w:top w:val="none" w:sz="0" w:space="0" w:color="auto"/>
            <w:left w:val="none" w:sz="0" w:space="0" w:color="auto"/>
            <w:bottom w:val="none" w:sz="0" w:space="0" w:color="auto"/>
            <w:right w:val="none" w:sz="0" w:space="0" w:color="auto"/>
          </w:divBdr>
        </w:div>
        <w:div w:id="1968271114">
          <w:marLeft w:val="0"/>
          <w:marRight w:val="0"/>
          <w:marTop w:val="0"/>
          <w:marBottom w:val="0"/>
          <w:divBdr>
            <w:top w:val="none" w:sz="0" w:space="0" w:color="auto"/>
            <w:left w:val="none" w:sz="0" w:space="0" w:color="auto"/>
            <w:bottom w:val="none" w:sz="0" w:space="0" w:color="auto"/>
            <w:right w:val="none" w:sz="0" w:space="0" w:color="auto"/>
          </w:divBdr>
        </w:div>
        <w:div w:id="238756496">
          <w:marLeft w:val="0"/>
          <w:marRight w:val="0"/>
          <w:marTop w:val="0"/>
          <w:marBottom w:val="0"/>
          <w:divBdr>
            <w:top w:val="none" w:sz="0" w:space="0" w:color="auto"/>
            <w:left w:val="none" w:sz="0" w:space="0" w:color="auto"/>
            <w:bottom w:val="none" w:sz="0" w:space="0" w:color="auto"/>
            <w:right w:val="none" w:sz="0" w:space="0" w:color="auto"/>
          </w:divBdr>
        </w:div>
        <w:div w:id="28377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C3FE-AC89-42CF-9F5B-574EFC1A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Kenmore-Tonawanda UFSD</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 Lasch</dc:creator>
  <cp:keywords/>
  <dc:description/>
  <cp:lastModifiedBy>Paul Lasch</cp:lastModifiedBy>
  <cp:revision>3</cp:revision>
  <dcterms:created xsi:type="dcterms:W3CDTF">2018-11-09T15:01:00Z</dcterms:created>
  <dcterms:modified xsi:type="dcterms:W3CDTF">2019-01-03T15:40:00Z</dcterms:modified>
</cp:coreProperties>
</file>